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22A90F">
      <w:pPr>
        <w:spacing w:line="360" w:lineRule="auto"/>
        <w:jc w:val="center"/>
        <w:rPr>
          <w:rFonts w:ascii="Times New Roman" w:hAnsi="Times New Roman" w:cs="Times New Roman"/>
          <w:b/>
          <w:bCs/>
          <w:sz w:val="28"/>
          <w:szCs w:val="28"/>
        </w:rPr>
      </w:pPr>
      <w:bookmarkStart w:id="127" w:name="_GoBack"/>
      <w:bookmarkEnd w:id="127"/>
    </w:p>
    <w:p w14:paraId="31BC6F01">
      <w:pPr>
        <w:spacing w:line="360" w:lineRule="auto"/>
        <w:jc w:val="center"/>
        <w:rPr>
          <w:rFonts w:ascii="Times New Roman" w:hAnsi="Times New Roman" w:cs="Times New Roman"/>
          <w:b/>
          <w:bCs/>
          <w:sz w:val="28"/>
          <w:szCs w:val="28"/>
        </w:rPr>
      </w:pPr>
    </w:p>
    <w:p w14:paraId="24FB48F0">
      <w:pPr>
        <w:jc w:val="center"/>
        <w:rPr>
          <w:rFonts w:hint="eastAsia" w:asciiTheme="minorEastAsia" w:hAnsiTheme="minorEastAsia" w:cstheme="minorEastAsia"/>
          <w:sz w:val="24"/>
          <w:szCs w:val="28"/>
        </w:rPr>
      </w:pPr>
    </w:p>
    <w:p w14:paraId="5729F547">
      <w:pPr>
        <w:jc w:val="center"/>
        <w:rPr>
          <w:rFonts w:hint="eastAsia" w:asciiTheme="minorEastAsia" w:hAnsiTheme="minorEastAsia" w:cstheme="minorEastAsia"/>
          <w:sz w:val="24"/>
          <w:szCs w:val="28"/>
        </w:rPr>
      </w:pPr>
    </w:p>
    <w:p w14:paraId="7FB399AD">
      <w:pPr>
        <w:jc w:val="center"/>
        <w:rPr>
          <w:rFonts w:hint="eastAsia" w:asciiTheme="minorEastAsia" w:hAnsiTheme="minorEastAsia" w:cstheme="minorEastAsia"/>
          <w:sz w:val="24"/>
          <w:szCs w:val="28"/>
        </w:rPr>
      </w:pPr>
    </w:p>
    <w:p w14:paraId="281B8FD7">
      <w:pPr>
        <w:jc w:val="center"/>
        <w:rPr>
          <w:rFonts w:hint="eastAsia" w:asciiTheme="minorEastAsia" w:hAnsiTheme="minorEastAsia" w:cstheme="minorEastAsia"/>
          <w:sz w:val="24"/>
          <w:szCs w:val="28"/>
        </w:rPr>
      </w:pPr>
    </w:p>
    <w:p w14:paraId="4469E6AC">
      <w:pPr>
        <w:spacing w:line="360" w:lineRule="auto"/>
        <w:jc w:val="center"/>
        <w:rPr>
          <w:rFonts w:ascii="Times New Roman" w:hAnsi="Times New Roman" w:eastAsia="宋体" w:cs="Times New Roman"/>
          <w:b/>
          <w:bCs/>
          <w:sz w:val="32"/>
          <w:szCs w:val="32"/>
        </w:rPr>
      </w:pPr>
    </w:p>
    <w:p w14:paraId="2DC33DD6">
      <w:pPr>
        <w:spacing w:line="360" w:lineRule="auto"/>
        <w:jc w:val="center"/>
        <w:rPr>
          <w:rFonts w:ascii="Times New Roman" w:hAnsi="Times New Roman" w:eastAsia="宋体" w:cs="Times New Roman"/>
          <w:b/>
          <w:bCs/>
          <w:sz w:val="32"/>
          <w:szCs w:val="32"/>
        </w:rPr>
      </w:pPr>
    </w:p>
    <w:p w14:paraId="3627FD0E">
      <w:pPr>
        <w:spacing w:line="360" w:lineRule="auto"/>
        <w:jc w:val="center"/>
        <w:outlineLvl w:val="0"/>
        <w:rPr>
          <w:rFonts w:hint="eastAsia" w:ascii="黑体" w:hAnsi="黑体" w:eastAsia="黑体" w:cs="黑体"/>
          <w:b/>
          <w:bCs/>
          <w:sz w:val="40"/>
          <w:szCs w:val="40"/>
        </w:rPr>
      </w:pPr>
      <w:bookmarkStart w:id="0" w:name="_Toc31387"/>
      <w:r>
        <w:rPr>
          <w:rFonts w:hint="eastAsia" w:ascii="黑体" w:hAnsi="黑体" w:eastAsia="黑体" w:cs="黑体"/>
          <w:b/>
          <w:bCs/>
          <w:sz w:val="40"/>
          <w:szCs w:val="40"/>
        </w:rPr>
        <w:t>“中拉青年应对全球挑战——2025减贫营”</w:t>
      </w:r>
      <w:bookmarkEnd w:id="0"/>
    </w:p>
    <w:p w14:paraId="3723D269">
      <w:pPr>
        <w:spacing w:line="360" w:lineRule="auto"/>
        <w:jc w:val="center"/>
        <w:rPr>
          <w:rFonts w:hint="eastAsia" w:ascii="黑体" w:hAnsi="黑体" w:eastAsia="黑体" w:cs="黑体"/>
          <w:b/>
          <w:bCs/>
          <w:sz w:val="36"/>
          <w:szCs w:val="36"/>
        </w:rPr>
      </w:pPr>
      <w:r>
        <w:rPr>
          <w:rFonts w:hint="eastAsia" w:ascii="黑体" w:hAnsi="黑体" w:eastAsia="黑体" w:cs="黑体"/>
          <w:b/>
          <w:bCs/>
          <w:sz w:val="36"/>
          <w:szCs w:val="36"/>
        </w:rPr>
        <w:t>总结报告</w:t>
      </w:r>
    </w:p>
    <w:p w14:paraId="744BD531">
      <w:pPr>
        <w:spacing w:line="360" w:lineRule="auto"/>
        <w:rPr>
          <w:rFonts w:ascii="Times New Roman" w:hAnsi="Times New Roman" w:eastAsia="宋体" w:cs="Times New Roman"/>
          <w:b/>
          <w:bCs/>
        </w:rPr>
      </w:pPr>
    </w:p>
    <w:p w14:paraId="1C3EAAD8">
      <w:pPr>
        <w:spacing w:line="360" w:lineRule="auto"/>
        <w:rPr>
          <w:rFonts w:ascii="Times New Roman" w:hAnsi="Times New Roman" w:eastAsia="宋体" w:cs="Times New Roman"/>
          <w:b/>
          <w:bCs/>
        </w:rPr>
      </w:pPr>
    </w:p>
    <w:p w14:paraId="2B2CE5A1">
      <w:pPr>
        <w:spacing w:line="360" w:lineRule="auto"/>
        <w:rPr>
          <w:rFonts w:ascii="Times New Roman" w:hAnsi="Times New Roman" w:eastAsia="宋体" w:cs="Times New Roman"/>
          <w:b/>
          <w:bCs/>
        </w:rPr>
      </w:pPr>
    </w:p>
    <w:p w14:paraId="74721E10">
      <w:pPr>
        <w:spacing w:line="360" w:lineRule="auto"/>
        <w:ind w:firstLine="2319" w:firstLineChars="1100"/>
        <w:rPr>
          <w:rFonts w:ascii="Times New Roman" w:hAnsi="Times New Roman" w:eastAsia="宋体" w:cs="Times New Roman"/>
          <w:b/>
          <w:bCs/>
        </w:rPr>
      </w:pPr>
    </w:p>
    <w:p w14:paraId="58F83E14">
      <w:pPr>
        <w:spacing w:line="360" w:lineRule="auto"/>
        <w:ind w:firstLine="2319" w:firstLineChars="1100"/>
        <w:rPr>
          <w:rFonts w:ascii="Times New Roman" w:hAnsi="Times New Roman" w:eastAsia="宋体" w:cs="Times New Roman"/>
          <w:b/>
          <w:bCs/>
        </w:rPr>
      </w:pPr>
    </w:p>
    <w:p w14:paraId="46725F41">
      <w:pPr>
        <w:spacing w:line="360" w:lineRule="auto"/>
        <w:jc w:val="center"/>
        <w:rPr>
          <w:rFonts w:ascii="Times New Roman" w:hAnsi="Times New Roman" w:eastAsia="宋体" w:cs="Times New Roman"/>
          <w:sz w:val="28"/>
          <w:szCs w:val="32"/>
        </w:rPr>
      </w:pPr>
      <w:r>
        <w:rPr>
          <w:rFonts w:ascii="Times New Roman" w:hAnsi="Times New Roman" w:eastAsia="宋体" w:cs="Times New Roman"/>
          <w:sz w:val="28"/>
          <w:szCs w:val="32"/>
        </w:rPr>
        <w:t>陈涛涛</w:t>
      </w:r>
      <w:r>
        <w:rPr>
          <w:rFonts w:hint="eastAsia" w:ascii="Times New Roman" w:hAnsi="Times New Roman" w:eastAsia="宋体" w:cs="Times New Roman"/>
          <w:sz w:val="28"/>
          <w:szCs w:val="32"/>
        </w:rPr>
        <w:t xml:space="preserve"> 教授</w:t>
      </w:r>
    </w:p>
    <w:p w14:paraId="2CBD2039">
      <w:pPr>
        <w:spacing w:line="360" w:lineRule="auto"/>
        <w:jc w:val="center"/>
        <w:outlineLvl w:val="0"/>
        <w:rPr>
          <w:rFonts w:ascii="Times New Roman" w:hAnsi="Times New Roman" w:eastAsia="宋体" w:cs="Times New Roman"/>
          <w:sz w:val="28"/>
          <w:szCs w:val="32"/>
        </w:rPr>
      </w:pPr>
      <w:bookmarkStart w:id="1" w:name="_Toc11044"/>
      <w:r>
        <w:rPr>
          <w:rFonts w:ascii="Times New Roman" w:hAnsi="Times New Roman" w:eastAsia="宋体" w:cs="Times New Roman"/>
          <w:sz w:val="28"/>
          <w:szCs w:val="32"/>
        </w:rPr>
        <w:t>清华大学拉美中心主任</w:t>
      </w:r>
      <w:bookmarkEnd w:id="1"/>
    </w:p>
    <w:p w14:paraId="6E89FBDA">
      <w:pPr>
        <w:spacing w:line="360" w:lineRule="auto"/>
        <w:jc w:val="center"/>
        <w:rPr>
          <w:rFonts w:ascii="Times New Roman" w:hAnsi="Times New Roman" w:eastAsia="宋体" w:cs="Times New Roman"/>
          <w:sz w:val="28"/>
          <w:szCs w:val="32"/>
        </w:rPr>
      </w:pPr>
      <w:r>
        <w:rPr>
          <w:rFonts w:hint="eastAsia" w:ascii="Times New Roman" w:hAnsi="Times New Roman" w:eastAsia="宋体" w:cs="Times New Roman"/>
          <w:sz w:val="28"/>
          <w:szCs w:val="32"/>
        </w:rPr>
        <w:t>清华大学经管学院中国-拉丁美洲管理研究中心主任</w:t>
      </w:r>
    </w:p>
    <w:p w14:paraId="3E8FCF89">
      <w:pPr>
        <w:spacing w:line="360" w:lineRule="auto"/>
        <w:jc w:val="center"/>
        <w:rPr>
          <w:rFonts w:ascii="Times New Roman" w:hAnsi="Times New Roman" w:eastAsia="宋体" w:cs="Times New Roman"/>
          <w:sz w:val="28"/>
          <w:szCs w:val="32"/>
        </w:rPr>
      </w:pPr>
    </w:p>
    <w:p w14:paraId="2E197FA1">
      <w:pPr>
        <w:spacing w:line="360" w:lineRule="auto"/>
        <w:jc w:val="center"/>
        <w:rPr>
          <w:rFonts w:ascii="Times New Roman" w:hAnsi="Times New Roman" w:eastAsia="宋体" w:cs="Times New Roman"/>
          <w:sz w:val="28"/>
          <w:szCs w:val="32"/>
        </w:rPr>
      </w:pPr>
    </w:p>
    <w:p w14:paraId="23421A8F">
      <w:pPr>
        <w:spacing w:line="360" w:lineRule="auto"/>
        <w:jc w:val="center"/>
        <w:rPr>
          <w:rFonts w:ascii="Times New Roman" w:hAnsi="Times New Roman" w:eastAsia="宋体" w:cs="Times New Roman"/>
          <w:b/>
          <w:bCs/>
        </w:rPr>
      </w:pPr>
      <w:r>
        <w:rPr>
          <w:rFonts w:ascii="Times New Roman" w:hAnsi="Times New Roman" w:eastAsia="宋体" w:cs="Times New Roman"/>
          <w:sz w:val="28"/>
          <w:szCs w:val="32"/>
        </w:rPr>
        <w:t>202</w:t>
      </w:r>
      <w:r>
        <w:rPr>
          <w:rFonts w:hint="eastAsia" w:ascii="Times New Roman" w:hAnsi="Times New Roman" w:eastAsia="宋体" w:cs="Times New Roman"/>
          <w:sz w:val="28"/>
          <w:szCs w:val="32"/>
        </w:rPr>
        <w:t>5</w:t>
      </w:r>
      <w:r>
        <w:rPr>
          <w:rFonts w:ascii="Times New Roman" w:hAnsi="Times New Roman" w:eastAsia="宋体" w:cs="Times New Roman"/>
          <w:sz w:val="28"/>
          <w:szCs w:val="32"/>
        </w:rPr>
        <w:t>年</w:t>
      </w:r>
      <w:r>
        <w:rPr>
          <w:rFonts w:hint="eastAsia" w:ascii="Times New Roman" w:hAnsi="Times New Roman" w:eastAsia="宋体" w:cs="Times New Roman"/>
          <w:sz w:val="28"/>
          <w:szCs w:val="32"/>
          <w:lang w:val="en-US" w:eastAsia="zh-CN"/>
        </w:rPr>
        <w:t>10</w:t>
      </w:r>
      <w:r>
        <w:rPr>
          <w:rFonts w:ascii="Times New Roman" w:hAnsi="Times New Roman" w:eastAsia="宋体" w:cs="Times New Roman"/>
          <w:sz w:val="28"/>
          <w:szCs w:val="32"/>
        </w:rPr>
        <w:t>月</w:t>
      </w:r>
    </w:p>
    <w:p w14:paraId="3A0195F9">
      <w:pPr>
        <w:spacing w:line="360" w:lineRule="auto"/>
        <w:rPr>
          <w:rFonts w:ascii="Times New Roman" w:hAnsi="Times New Roman" w:eastAsia="宋体" w:cs="Times New Roman"/>
          <w:b/>
          <w:bCs/>
        </w:rPr>
      </w:pPr>
    </w:p>
    <w:p w14:paraId="69E349DF">
      <w:pPr>
        <w:spacing w:line="360" w:lineRule="auto"/>
        <w:rPr>
          <w:rFonts w:ascii="Times New Roman" w:hAnsi="Times New Roman" w:eastAsia="宋体" w:cs="Times New Roman"/>
          <w:b/>
          <w:bCs/>
        </w:rPr>
      </w:pPr>
    </w:p>
    <w:p w14:paraId="4F95D6BD">
      <w:pPr>
        <w:spacing w:line="360" w:lineRule="auto"/>
        <w:rPr>
          <w:rFonts w:ascii="Times New Roman" w:hAnsi="Times New Roman" w:eastAsia="宋体" w:cs="Times New Roman"/>
          <w:b/>
          <w:bCs/>
        </w:rPr>
      </w:pPr>
    </w:p>
    <w:p w14:paraId="51655B0A">
      <w:pPr>
        <w:jc w:val="left"/>
        <w:rPr>
          <w:rFonts w:ascii="Times New Roman" w:hAnsi="Times New Roman" w:eastAsia="宋体" w:cs="Times New Roman"/>
          <w:sz w:val="36"/>
          <w:szCs w:val="36"/>
        </w:rPr>
        <w:sectPr>
          <w:headerReference r:id="rId3" w:type="default"/>
          <w:footerReference r:id="rId4" w:type="default"/>
          <w:footerReference r:id="rId5" w:type="even"/>
          <w:pgSz w:w="11900" w:h="16840"/>
          <w:pgMar w:top="1837" w:right="1797" w:bottom="2268" w:left="1797" w:header="567" w:footer="561" w:gutter="0"/>
          <w:cols w:space="425" w:num="1"/>
          <w:docGrid w:type="lines" w:linePitch="312" w:charSpace="0"/>
        </w:sectPr>
      </w:pPr>
    </w:p>
    <w:sdt>
      <w:sdtPr>
        <w:rPr>
          <w:rFonts w:ascii="宋体" w:hAnsi="宋体" w:eastAsia="宋体" w:cstheme="minorBidi"/>
          <w:kern w:val="2"/>
          <w:sz w:val="21"/>
          <w:szCs w:val="22"/>
          <w:lang w:val="en-US" w:eastAsia="zh-CN" w:bidi="ar-SA"/>
        </w:rPr>
        <w:id w:val="147464582"/>
        <w15:color w:val="DBDBDB"/>
        <w:docPartObj>
          <w:docPartGallery w:val="Table of Contents"/>
          <w:docPartUnique/>
        </w:docPartObj>
      </w:sdtPr>
      <w:sdtEndPr>
        <w:rPr>
          <w:rFonts w:hint="eastAsia" w:ascii="仿宋" w:hAnsi="仿宋" w:eastAsia="仿宋" w:cs="仿宋"/>
          <w:color w:val="000000" w:themeColor="text1"/>
          <w:kern w:val="2"/>
          <w:sz w:val="21"/>
          <w:szCs w:val="28"/>
          <w:lang w:val="en-US" w:eastAsia="zh-CN" w:bidi="ar-SA"/>
          <w14:textFill>
            <w14:solidFill>
              <w14:schemeClr w14:val="tx1"/>
            </w14:solidFill>
          </w14:textFill>
        </w:rPr>
      </w:sdtEndPr>
      <w:sdtContent>
        <w:p w14:paraId="6BE4529E">
          <w:pPr>
            <w:spacing w:before="0" w:beforeLines="0" w:after="0" w:afterLines="0" w:line="240" w:lineRule="auto"/>
            <w:ind w:left="0" w:leftChars="0" w:right="0" w:rightChars="0" w:firstLine="0" w:firstLineChars="0"/>
            <w:jc w:val="center"/>
          </w:pPr>
          <w:r>
            <w:rPr>
              <w:rFonts w:ascii="宋体" w:hAnsi="宋体" w:eastAsia="宋体"/>
              <w:sz w:val="21"/>
            </w:rPr>
            <w:t>目录</w:t>
          </w:r>
        </w:p>
        <w:p w14:paraId="72076D94">
          <w:pPr>
            <w:pStyle w:val="31"/>
            <w:tabs>
              <w:tab w:val="right" w:leader="dot" w:pos="8306"/>
            </w:tabs>
          </w:pP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TOC \o "1-1" \h \u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Cs w:val="28"/>
              <w14:textFill>
                <w14:solidFill>
                  <w14:schemeClr w14:val="tx1"/>
                </w14:solidFill>
              </w14:textFill>
            </w:rPr>
            <w:fldChar w:fldCharType="begin"/>
          </w:r>
          <w:r>
            <w:rPr>
              <w:rFonts w:hint="eastAsia" w:ascii="仿宋" w:hAnsi="仿宋" w:eastAsia="仿宋" w:cs="仿宋"/>
              <w:szCs w:val="28"/>
            </w:rPr>
            <w:instrText xml:space="preserve"> HYPERLINK \l _Toc31387 </w:instrText>
          </w:r>
          <w:r>
            <w:rPr>
              <w:rFonts w:hint="eastAsia" w:ascii="仿宋" w:hAnsi="仿宋" w:eastAsia="仿宋" w:cs="仿宋"/>
              <w:szCs w:val="28"/>
            </w:rPr>
            <w:fldChar w:fldCharType="separate"/>
          </w:r>
          <w:r>
            <w:rPr>
              <w:rFonts w:hint="eastAsia" w:ascii="黑体" w:hAnsi="黑体" w:eastAsia="黑体" w:cs="黑体"/>
              <w:bCs/>
              <w:szCs w:val="40"/>
            </w:rPr>
            <w:t>“中拉青年应对全球挑战——2025减贫营”</w:t>
          </w:r>
          <w:r>
            <w:tab/>
          </w:r>
          <w:r>
            <w:fldChar w:fldCharType="begin"/>
          </w:r>
          <w:r>
            <w:instrText xml:space="preserve"> PAGEREF _Toc31387 \h </w:instrText>
          </w:r>
          <w:r>
            <w:fldChar w:fldCharType="separate"/>
          </w:r>
          <w:r>
            <w:t>1</w:t>
          </w:r>
          <w:r>
            <w:fldChar w:fldCharType="end"/>
          </w:r>
          <w:r>
            <w:rPr>
              <w:rFonts w:hint="eastAsia" w:ascii="仿宋" w:hAnsi="仿宋" w:eastAsia="仿宋" w:cs="仿宋"/>
              <w:color w:val="000000" w:themeColor="text1"/>
              <w:szCs w:val="28"/>
              <w14:textFill>
                <w14:solidFill>
                  <w14:schemeClr w14:val="tx1"/>
                </w14:solidFill>
              </w14:textFill>
            </w:rPr>
            <w:fldChar w:fldCharType="end"/>
          </w:r>
        </w:p>
        <w:p w14:paraId="7756AA34">
          <w:pPr>
            <w:pStyle w:val="31"/>
            <w:tabs>
              <w:tab w:val="right" w:leader="dot" w:pos="8306"/>
            </w:tabs>
          </w:pPr>
          <w:r>
            <w:rPr>
              <w:rFonts w:hint="eastAsia" w:ascii="仿宋" w:hAnsi="仿宋" w:eastAsia="仿宋" w:cs="仿宋"/>
              <w:color w:val="000000" w:themeColor="text1"/>
              <w:szCs w:val="28"/>
              <w14:textFill>
                <w14:solidFill>
                  <w14:schemeClr w14:val="tx1"/>
                </w14:solidFill>
              </w14:textFill>
            </w:rPr>
            <w:fldChar w:fldCharType="begin"/>
          </w:r>
          <w:r>
            <w:rPr>
              <w:rFonts w:hint="eastAsia" w:ascii="仿宋" w:hAnsi="仿宋" w:eastAsia="仿宋" w:cs="仿宋"/>
              <w:szCs w:val="28"/>
            </w:rPr>
            <w:instrText xml:space="preserve"> HYPERLINK \l _Toc11044 </w:instrText>
          </w:r>
          <w:r>
            <w:rPr>
              <w:rFonts w:hint="eastAsia" w:ascii="仿宋" w:hAnsi="仿宋" w:eastAsia="仿宋" w:cs="仿宋"/>
              <w:szCs w:val="28"/>
            </w:rPr>
            <w:fldChar w:fldCharType="separate"/>
          </w:r>
          <w:r>
            <w:rPr>
              <w:rFonts w:ascii="Times New Roman" w:hAnsi="Times New Roman" w:eastAsia="宋体" w:cs="Times New Roman"/>
              <w:szCs w:val="32"/>
            </w:rPr>
            <w:t>清华大学拉美中心主任</w:t>
          </w:r>
          <w:r>
            <w:tab/>
          </w:r>
          <w:r>
            <w:fldChar w:fldCharType="begin"/>
          </w:r>
          <w:r>
            <w:instrText xml:space="preserve"> PAGEREF _Toc11044 \h </w:instrText>
          </w:r>
          <w:r>
            <w:fldChar w:fldCharType="separate"/>
          </w:r>
          <w:r>
            <w:t>1</w:t>
          </w:r>
          <w:r>
            <w:fldChar w:fldCharType="end"/>
          </w:r>
          <w:r>
            <w:rPr>
              <w:rFonts w:hint="eastAsia" w:ascii="仿宋" w:hAnsi="仿宋" w:eastAsia="仿宋" w:cs="仿宋"/>
              <w:color w:val="000000" w:themeColor="text1"/>
              <w:szCs w:val="28"/>
              <w14:textFill>
                <w14:solidFill>
                  <w14:schemeClr w14:val="tx1"/>
                </w14:solidFill>
              </w14:textFill>
            </w:rPr>
            <w:fldChar w:fldCharType="end"/>
          </w:r>
        </w:p>
        <w:p w14:paraId="1CF68E37">
          <w:pPr>
            <w:pStyle w:val="31"/>
            <w:tabs>
              <w:tab w:val="right" w:leader="dot" w:pos="8306"/>
            </w:tabs>
          </w:pPr>
          <w:r>
            <w:rPr>
              <w:rFonts w:hint="eastAsia" w:ascii="仿宋" w:hAnsi="仿宋" w:eastAsia="仿宋" w:cs="仿宋"/>
              <w:color w:val="000000" w:themeColor="text1"/>
              <w:szCs w:val="28"/>
              <w14:textFill>
                <w14:solidFill>
                  <w14:schemeClr w14:val="tx1"/>
                </w14:solidFill>
              </w14:textFill>
            </w:rPr>
            <w:fldChar w:fldCharType="begin"/>
          </w:r>
          <w:r>
            <w:rPr>
              <w:rFonts w:hint="eastAsia" w:ascii="仿宋" w:hAnsi="仿宋" w:eastAsia="仿宋" w:cs="仿宋"/>
              <w:szCs w:val="28"/>
            </w:rPr>
            <w:instrText xml:space="preserve"> HYPERLINK \l _Toc26684 </w:instrText>
          </w:r>
          <w:r>
            <w:rPr>
              <w:rFonts w:hint="eastAsia" w:ascii="仿宋" w:hAnsi="仿宋" w:eastAsia="仿宋" w:cs="仿宋"/>
              <w:szCs w:val="28"/>
            </w:rPr>
            <w:fldChar w:fldCharType="separate"/>
          </w:r>
          <w:r>
            <w:rPr>
              <w:rFonts w:hint="eastAsia" w:ascii="Times New Roman" w:hAnsi="Times New Roman" w:eastAsia="楷体" w:cs="Times New Roman"/>
              <w:szCs w:val="28"/>
            </w:rPr>
            <w:t>清华大学拉美中心主任</w:t>
          </w:r>
          <w:r>
            <w:tab/>
          </w:r>
          <w:r>
            <w:fldChar w:fldCharType="begin"/>
          </w:r>
          <w:r>
            <w:instrText xml:space="preserve"> PAGEREF _Toc26684 \h </w:instrText>
          </w:r>
          <w:r>
            <w:fldChar w:fldCharType="separate"/>
          </w:r>
          <w:r>
            <w:t>1</w:t>
          </w:r>
          <w:r>
            <w:fldChar w:fldCharType="end"/>
          </w:r>
          <w:r>
            <w:rPr>
              <w:rFonts w:hint="eastAsia" w:ascii="仿宋" w:hAnsi="仿宋" w:eastAsia="仿宋" w:cs="仿宋"/>
              <w:color w:val="000000" w:themeColor="text1"/>
              <w:szCs w:val="28"/>
              <w14:textFill>
                <w14:solidFill>
                  <w14:schemeClr w14:val="tx1"/>
                </w14:solidFill>
              </w14:textFill>
            </w:rPr>
            <w:fldChar w:fldCharType="end"/>
          </w:r>
        </w:p>
        <w:p w14:paraId="1102B7E1">
          <w:pPr>
            <w:pStyle w:val="31"/>
            <w:tabs>
              <w:tab w:val="right" w:leader="dot" w:pos="8306"/>
            </w:tabs>
          </w:pPr>
          <w:r>
            <w:rPr>
              <w:rFonts w:hint="eastAsia" w:ascii="仿宋" w:hAnsi="仿宋" w:eastAsia="仿宋" w:cs="仿宋"/>
              <w:color w:val="000000" w:themeColor="text1"/>
              <w:szCs w:val="28"/>
              <w14:textFill>
                <w14:solidFill>
                  <w14:schemeClr w14:val="tx1"/>
                </w14:solidFill>
              </w14:textFill>
            </w:rPr>
            <w:fldChar w:fldCharType="begin"/>
          </w:r>
          <w:r>
            <w:rPr>
              <w:rFonts w:hint="eastAsia" w:ascii="仿宋" w:hAnsi="仿宋" w:eastAsia="仿宋" w:cs="仿宋"/>
              <w:szCs w:val="28"/>
            </w:rPr>
            <w:instrText xml:space="preserve"> HYPERLINK \l _Toc16656 </w:instrText>
          </w:r>
          <w:r>
            <w:rPr>
              <w:rFonts w:hint="eastAsia" w:ascii="仿宋" w:hAnsi="仿宋" w:eastAsia="仿宋" w:cs="仿宋"/>
              <w:szCs w:val="28"/>
            </w:rPr>
            <w:fldChar w:fldCharType="separate"/>
          </w:r>
          <w:r>
            <w:rPr>
              <w:rFonts w:ascii="黑体" w:hAnsi="黑体" w:eastAsia="黑体" w:cs="黑体"/>
            </w:rPr>
            <w:t>一、活动背景与意义</w:t>
          </w:r>
          <w:r>
            <w:tab/>
          </w:r>
          <w:r>
            <w:fldChar w:fldCharType="begin"/>
          </w:r>
          <w:r>
            <w:instrText xml:space="preserve"> PAGEREF _Toc16656 \h </w:instrText>
          </w:r>
          <w:r>
            <w:fldChar w:fldCharType="separate"/>
          </w:r>
          <w:r>
            <w:t>2</w:t>
          </w:r>
          <w:r>
            <w:fldChar w:fldCharType="end"/>
          </w:r>
          <w:r>
            <w:rPr>
              <w:rFonts w:hint="eastAsia" w:ascii="仿宋" w:hAnsi="仿宋" w:eastAsia="仿宋" w:cs="仿宋"/>
              <w:color w:val="000000" w:themeColor="text1"/>
              <w:szCs w:val="28"/>
              <w14:textFill>
                <w14:solidFill>
                  <w14:schemeClr w14:val="tx1"/>
                </w14:solidFill>
              </w14:textFill>
            </w:rPr>
            <w:fldChar w:fldCharType="end"/>
          </w:r>
        </w:p>
        <w:p w14:paraId="4B6DF17E">
          <w:pPr>
            <w:pStyle w:val="31"/>
            <w:tabs>
              <w:tab w:val="right" w:leader="dot" w:pos="8306"/>
            </w:tabs>
          </w:pPr>
          <w:r>
            <w:rPr>
              <w:rFonts w:hint="eastAsia" w:ascii="仿宋" w:hAnsi="仿宋" w:eastAsia="仿宋" w:cs="仿宋"/>
              <w:color w:val="000000" w:themeColor="text1"/>
              <w:szCs w:val="28"/>
              <w14:textFill>
                <w14:solidFill>
                  <w14:schemeClr w14:val="tx1"/>
                </w14:solidFill>
              </w14:textFill>
            </w:rPr>
            <w:fldChar w:fldCharType="begin"/>
          </w:r>
          <w:r>
            <w:rPr>
              <w:rFonts w:hint="eastAsia" w:ascii="仿宋" w:hAnsi="仿宋" w:eastAsia="仿宋" w:cs="仿宋"/>
              <w:szCs w:val="28"/>
            </w:rPr>
            <w:instrText xml:space="preserve"> HYPERLINK \l _Toc20909 </w:instrText>
          </w:r>
          <w:r>
            <w:rPr>
              <w:rFonts w:hint="eastAsia" w:ascii="仿宋" w:hAnsi="仿宋" w:eastAsia="仿宋" w:cs="仿宋"/>
              <w:szCs w:val="28"/>
            </w:rPr>
            <w:fldChar w:fldCharType="separate"/>
          </w:r>
          <w:r>
            <w:rPr>
              <w:rFonts w:ascii="黑体" w:hAnsi="黑体" w:eastAsia="黑体" w:cs="黑体"/>
            </w:rPr>
            <w:t>二、合作网络</w:t>
          </w:r>
          <w:r>
            <w:tab/>
          </w:r>
          <w:r>
            <w:fldChar w:fldCharType="begin"/>
          </w:r>
          <w:r>
            <w:instrText xml:space="preserve"> PAGEREF _Toc20909 \h </w:instrText>
          </w:r>
          <w:r>
            <w:fldChar w:fldCharType="separate"/>
          </w:r>
          <w:r>
            <w:t>4</w:t>
          </w:r>
          <w:r>
            <w:fldChar w:fldCharType="end"/>
          </w:r>
          <w:r>
            <w:rPr>
              <w:rFonts w:hint="eastAsia" w:ascii="仿宋" w:hAnsi="仿宋" w:eastAsia="仿宋" w:cs="仿宋"/>
              <w:color w:val="000000" w:themeColor="text1"/>
              <w:szCs w:val="28"/>
              <w14:textFill>
                <w14:solidFill>
                  <w14:schemeClr w14:val="tx1"/>
                </w14:solidFill>
              </w14:textFill>
            </w:rPr>
            <w:fldChar w:fldCharType="end"/>
          </w:r>
        </w:p>
        <w:p w14:paraId="0773782F">
          <w:pPr>
            <w:pStyle w:val="31"/>
            <w:tabs>
              <w:tab w:val="right" w:leader="dot" w:pos="8306"/>
            </w:tabs>
          </w:pPr>
          <w:r>
            <w:rPr>
              <w:rFonts w:hint="eastAsia" w:ascii="仿宋" w:hAnsi="仿宋" w:eastAsia="仿宋" w:cs="仿宋"/>
              <w:color w:val="000000" w:themeColor="text1"/>
              <w:szCs w:val="28"/>
              <w14:textFill>
                <w14:solidFill>
                  <w14:schemeClr w14:val="tx1"/>
                </w14:solidFill>
              </w14:textFill>
            </w:rPr>
            <w:fldChar w:fldCharType="begin"/>
          </w:r>
          <w:r>
            <w:rPr>
              <w:rFonts w:hint="eastAsia" w:ascii="仿宋" w:hAnsi="仿宋" w:eastAsia="仿宋" w:cs="仿宋"/>
              <w:szCs w:val="28"/>
            </w:rPr>
            <w:instrText xml:space="preserve"> HYPERLINK \l _Toc11315 </w:instrText>
          </w:r>
          <w:r>
            <w:rPr>
              <w:rFonts w:hint="eastAsia" w:ascii="仿宋" w:hAnsi="仿宋" w:eastAsia="仿宋" w:cs="仿宋"/>
              <w:szCs w:val="28"/>
            </w:rPr>
            <w:fldChar w:fldCharType="separate"/>
          </w:r>
          <w:r>
            <w:rPr>
              <w:rFonts w:ascii="黑体" w:hAnsi="黑体" w:eastAsia="黑体" w:cs="黑体"/>
            </w:rPr>
            <w:t>三、创新赛事亮点 聚全球合力构建减贫新生态</w:t>
          </w:r>
          <w:r>
            <w:tab/>
          </w:r>
          <w:r>
            <w:fldChar w:fldCharType="begin"/>
          </w:r>
          <w:r>
            <w:instrText xml:space="preserve"> PAGEREF _Toc11315 \h </w:instrText>
          </w:r>
          <w:r>
            <w:fldChar w:fldCharType="separate"/>
          </w:r>
          <w:r>
            <w:t>5</w:t>
          </w:r>
          <w:r>
            <w:fldChar w:fldCharType="end"/>
          </w:r>
          <w:r>
            <w:rPr>
              <w:rFonts w:hint="eastAsia" w:ascii="仿宋" w:hAnsi="仿宋" w:eastAsia="仿宋" w:cs="仿宋"/>
              <w:color w:val="000000" w:themeColor="text1"/>
              <w:szCs w:val="28"/>
              <w14:textFill>
                <w14:solidFill>
                  <w14:schemeClr w14:val="tx1"/>
                </w14:solidFill>
              </w14:textFill>
            </w:rPr>
            <w:fldChar w:fldCharType="end"/>
          </w:r>
        </w:p>
        <w:p w14:paraId="0EA779D7">
          <w:pPr>
            <w:pStyle w:val="31"/>
            <w:tabs>
              <w:tab w:val="right" w:leader="dot" w:pos="8306"/>
            </w:tabs>
          </w:pPr>
          <w:r>
            <w:rPr>
              <w:rFonts w:hint="eastAsia" w:ascii="仿宋" w:hAnsi="仿宋" w:eastAsia="仿宋" w:cs="仿宋"/>
              <w:color w:val="000000" w:themeColor="text1"/>
              <w:szCs w:val="28"/>
              <w14:textFill>
                <w14:solidFill>
                  <w14:schemeClr w14:val="tx1"/>
                </w14:solidFill>
              </w14:textFill>
            </w:rPr>
            <w:fldChar w:fldCharType="begin"/>
          </w:r>
          <w:r>
            <w:rPr>
              <w:rFonts w:hint="eastAsia" w:ascii="仿宋" w:hAnsi="仿宋" w:eastAsia="仿宋" w:cs="仿宋"/>
              <w:szCs w:val="28"/>
            </w:rPr>
            <w:instrText xml:space="preserve"> HYPERLINK \l _Toc7803 </w:instrText>
          </w:r>
          <w:r>
            <w:rPr>
              <w:rFonts w:hint="eastAsia" w:ascii="仿宋" w:hAnsi="仿宋" w:eastAsia="仿宋" w:cs="仿宋"/>
              <w:szCs w:val="28"/>
            </w:rPr>
            <w:fldChar w:fldCharType="separate"/>
          </w:r>
          <w:r>
            <w:rPr>
              <w:rFonts w:ascii="黑体" w:hAnsi="黑体" w:eastAsia="黑体" w:cs="黑体"/>
            </w:rPr>
            <w:t>四、获奖团队及项目介绍</w:t>
          </w:r>
          <w:r>
            <w:tab/>
          </w:r>
          <w:r>
            <w:fldChar w:fldCharType="begin"/>
          </w:r>
          <w:r>
            <w:instrText xml:space="preserve"> PAGEREF _Toc7803 \h </w:instrText>
          </w:r>
          <w:r>
            <w:fldChar w:fldCharType="separate"/>
          </w:r>
          <w:r>
            <w:t>14</w:t>
          </w:r>
          <w:r>
            <w:fldChar w:fldCharType="end"/>
          </w:r>
          <w:r>
            <w:rPr>
              <w:rFonts w:hint="eastAsia" w:ascii="仿宋" w:hAnsi="仿宋" w:eastAsia="仿宋" w:cs="仿宋"/>
              <w:color w:val="000000" w:themeColor="text1"/>
              <w:szCs w:val="28"/>
              <w14:textFill>
                <w14:solidFill>
                  <w14:schemeClr w14:val="tx1"/>
                </w14:solidFill>
              </w14:textFill>
            </w:rPr>
            <w:fldChar w:fldCharType="end"/>
          </w:r>
        </w:p>
        <w:p w14:paraId="287B4F82">
          <w:pPr>
            <w:pStyle w:val="31"/>
            <w:tabs>
              <w:tab w:val="right" w:leader="dot" w:pos="8306"/>
            </w:tabs>
          </w:pPr>
          <w:r>
            <w:rPr>
              <w:rFonts w:hint="eastAsia" w:ascii="仿宋" w:hAnsi="仿宋" w:eastAsia="仿宋" w:cs="仿宋"/>
              <w:color w:val="000000" w:themeColor="text1"/>
              <w:szCs w:val="28"/>
              <w14:textFill>
                <w14:solidFill>
                  <w14:schemeClr w14:val="tx1"/>
                </w14:solidFill>
              </w14:textFill>
            </w:rPr>
            <w:fldChar w:fldCharType="begin"/>
          </w:r>
          <w:r>
            <w:rPr>
              <w:rFonts w:hint="eastAsia" w:ascii="仿宋" w:hAnsi="仿宋" w:eastAsia="仿宋" w:cs="仿宋"/>
              <w:szCs w:val="28"/>
            </w:rPr>
            <w:instrText xml:space="preserve"> HYPERLINK \l _Toc3400 </w:instrText>
          </w:r>
          <w:r>
            <w:rPr>
              <w:rFonts w:hint="eastAsia" w:ascii="仿宋" w:hAnsi="仿宋" w:eastAsia="仿宋" w:cs="仿宋"/>
              <w:szCs w:val="28"/>
            </w:rPr>
            <w:fldChar w:fldCharType="separate"/>
          </w:r>
          <w:r>
            <w:rPr>
              <w:rFonts w:ascii="黑体" w:hAnsi="黑体" w:eastAsia="黑体" w:cs="黑体"/>
            </w:rPr>
            <w:t>五、活动成效与展望</w:t>
          </w:r>
          <w:r>
            <w:tab/>
          </w:r>
          <w:r>
            <w:fldChar w:fldCharType="begin"/>
          </w:r>
          <w:r>
            <w:instrText xml:space="preserve"> PAGEREF _Toc3400 \h </w:instrText>
          </w:r>
          <w:r>
            <w:fldChar w:fldCharType="separate"/>
          </w:r>
          <w:r>
            <w:t>18</w:t>
          </w:r>
          <w:r>
            <w:fldChar w:fldCharType="end"/>
          </w:r>
          <w:r>
            <w:rPr>
              <w:rFonts w:hint="eastAsia" w:ascii="仿宋" w:hAnsi="仿宋" w:eastAsia="仿宋" w:cs="仿宋"/>
              <w:color w:val="000000" w:themeColor="text1"/>
              <w:szCs w:val="28"/>
              <w14:textFill>
                <w14:solidFill>
                  <w14:schemeClr w14:val="tx1"/>
                </w14:solidFill>
              </w14:textFill>
            </w:rPr>
            <w:fldChar w:fldCharType="end"/>
          </w:r>
        </w:p>
        <w:p w14:paraId="39295D3F">
          <w:pPr>
            <w:pStyle w:val="31"/>
            <w:tabs>
              <w:tab w:val="right" w:leader="dot" w:pos="8306"/>
            </w:tabs>
          </w:pPr>
          <w:r>
            <w:rPr>
              <w:rFonts w:hint="eastAsia" w:ascii="仿宋" w:hAnsi="仿宋" w:eastAsia="仿宋" w:cs="仿宋"/>
              <w:color w:val="000000" w:themeColor="text1"/>
              <w:szCs w:val="28"/>
              <w14:textFill>
                <w14:solidFill>
                  <w14:schemeClr w14:val="tx1"/>
                </w14:solidFill>
              </w14:textFill>
            </w:rPr>
            <w:fldChar w:fldCharType="begin"/>
          </w:r>
          <w:r>
            <w:rPr>
              <w:rFonts w:hint="eastAsia" w:ascii="仿宋" w:hAnsi="仿宋" w:eastAsia="仿宋" w:cs="仿宋"/>
              <w:szCs w:val="28"/>
            </w:rPr>
            <w:instrText xml:space="preserve"> HYPERLINK \l _Toc20067 </w:instrText>
          </w:r>
          <w:r>
            <w:rPr>
              <w:rFonts w:hint="eastAsia" w:ascii="仿宋" w:hAnsi="仿宋" w:eastAsia="仿宋" w:cs="仿宋"/>
              <w:szCs w:val="28"/>
            </w:rPr>
            <w:fldChar w:fldCharType="separate"/>
          </w:r>
          <w:r>
            <w:rPr>
              <w:rFonts w:hint="default"/>
            </w:rPr>
            <w:t>附：媒体报道</w:t>
          </w:r>
          <w:r>
            <w:tab/>
          </w:r>
          <w:r>
            <w:fldChar w:fldCharType="begin"/>
          </w:r>
          <w:r>
            <w:instrText xml:space="preserve"> PAGEREF _Toc20067 \h </w:instrText>
          </w:r>
          <w:r>
            <w:fldChar w:fldCharType="separate"/>
          </w:r>
          <w:r>
            <w:t>23</w:t>
          </w:r>
          <w:r>
            <w:fldChar w:fldCharType="end"/>
          </w:r>
          <w:r>
            <w:rPr>
              <w:rFonts w:hint="eastAsia" w:ascii="仿宋" w:hAnsi="仿宋" w:eastAsia="仿宋" w:cs="仿宋"/>
              <w:color w:val="000000" w:themeColor="text1"/>
              <w:szCs w:val="28"/>
              <w14:textFill>
                <w14:solidFill>
                  <w14:schemeClr w14:val="tx1"/>
                </w14:solidFill>
              </w14:textFill>
            </w:rPr>
            <w:fldChar w:fldCharType="end"/>
          </w:r>
        </w:p>
        <w:p w14:paraId="44E9C43A">
          <w:pPr>
            <w:spacing w:before="312" w:beforeLines="100" w:after="156" w:afterLines="50" w:line="360" w:lineRule="auto"/>
            <w:jc w:val="left"/>
            <w:rPr>
              <w:rFonts w:hint="eastAsia" w:ascii="仿宋" w:hAnsi="仿宋" w:eastAsia="仿宋" w:cs="仿宋"/>
              <w:color w:val="000000" w:themeColor="text1"/>
              <w:kern w:val="2"/>
              <w:sz w:val="21"/>
              <w:szCs w:val="28"/>
              <w:lang w:val="en-US" w:eastAsia="zh-CN" w:bidi="ar-SA"/>
              <w14:textFill>
                <w14:solidFill>
                  <w14:schemeClr w14:val="tx1"/>
                </w14:solidFill>
              </w14:textFill>
            </w:rPr>
            <w:sectPr>
              <w:footerReference r:id="rId6" w:type="default"/>
              <w:pgSz w:w="11900" w:h="16840"/>
              <w:pgMar w:top="1837" w:right="1797" w:bottom="2268" w:left="1797" w:header="567" w:footer="561" w:gutter="0"/>
              <w:pgNumType w:start="1"/>
              <w:cols w:space="425" w:num="1"/>
              <w:docGrid w:type="lines" w:linePitch="312" w:charSpace="0"/>
            </w:sectPr>
          </w:pPr>
          <w:r>
            <w:rPr>
              <w:rFonts w:hint="eastAsia" w:ascii="仿宋" w:hAnsi="仿宋" w:eastAsia="仿宋" w:cs="仿宋"/>
              <w:color w:val="000000" w:themeColor="text1"/>
              <w:szCs w:val="28"/>
              <w14:textFill>
                <w14:solidFill>
                  <w14:schemeClr w14:val="tx1"/>
                </w14:solidFill>
              </w14:textFill>
            </w:rPr>
            <w:fldChar w:fldCharType="end"/>
          </w:r>
        </w:p>
      </w:sdtContent>
    </w:sdt>
    <w:p w14:paraId="4482B724">
      <w:pPr>
        <w:spacing w:before="312" w:beforeLines="100" w:after="156" w:afterLines="50" w:line="360" w:lineRule="auto"/>
        <w:jc w:val="left"/>
        <w:rPr>
          <w:rFonts w:hint="eastAsia" w:ascii="仿宋" w:hAnsi="仿宋" w:eastAsia="仿宋" w:cs="仿宋"/>
          <w:color w:val="000000" w:themeColor="text1"/>
          <w:kern w:val="2"/>
          <w:sz w:val="21"/>
          <w:szCs w:val="28"/>
          <w:lang w:val="en-US" w:eastAsia="zh-CN" w:bidi="ar-SA"/>
          <w14:textFill>
            <w14:solidFill>
              <w14:schemeClr w14:val="tx1"/>
            </w14:solidFill>
          </w14:textFill>
        </w:rPr>
        <w:sectPr>
          <w:pgSz w:w="11900" w:h="16840"/>
          <w:pgMar w:top="1837" w:right="1797" w:bottom="2268" w:left="1797" w:header="567" w:footer="561" w:gutter="0"/>
          <w:pgNumType w:start="1"/>
          <w:cols w:space="425" w:num="1"/>
          <w:docGrid w:type="lines" w:linePitch="312" w:charSpace="0"/>
        </w:sectPr>
      </w:pPr>
    </w:p>
    <w:p w14:paraId="19876B03">
      <w:pPr>
        <w:spacing w:after="156" w:afterLines="50" w:line="360" w:lineRule="auto"/>
        <w:rPr>
          <w:rFonts w:ascii="Times New Roman" w:hAnsi="Times New Roman" w:eastAsia="宋体" w:cs="Times New Roman"/>
          <w:b/>
          <w:bCs/>
          <w:shd w:val="clear" w:color="auto" w:fill="FFFFFF"/>
        </w:rPr>
      </w:pPr>
      <w:bookmarkStart w:id="2" w:name="_Toc12494"/>
      <w:bookmarkStart w:id="3" w:name="_Toc7557"/>
      <w:bookmarkStart w:id="4" w:name="_Toc31028"/>
      <w:bookmarkStart w:id="5" w:name="_Toc15260"/>
      <w:bookmarkStart w:id="6" w:name="_Toc9099"/>
      <w:bookmarkStart w:id="7" w:name="_Toc8649"/>
      <w:bookmarkStart w:id="8" w:name="_Toc14276"/>
      <w:bookmarkStart w:id="9" w:name="_Toc11568"/>
      <w:bookmarkStart w:id="10" w:name="_Toc6628"/>
      <w:bookmarkStart w:id="11" w:name="_Toc8596"/>
      <w:bookmarkStart w:id="12" w:name="_Toc12760"/>
      <w:bookmarkStart w:id="13" w:name="_Toc24276"/>
      <w:bookmarkStart w:id="14" w:name="_Toc24282"/>
    </w:p>
    <w:p w14:paraId="7B210A49">
      <w:pPr>
        <w:spacing w:after="156" w:afterLines="50" w:line="360" w:lineRule="auto"/>
        <w:rPr>
          <w:rFonts w:ascii="Times New Roman" w:hAnsi="Times New Roman" w:eastAsia="楷体" w:cs="Times New Roman"/>
          <w:b/>
          <w:bCs/>
          <w:color w:val="0000FF"/>
          <w:sz w:val="24"/>
          <w:szCs w:val="28"/>
          <w:shd w:val="clear" w:color="auto" w:fill="FFFFFF"/>
        </w:rPr>
      </w:pPr>
      <w:r>
        <w:rPr>
          <w:rFonts w:hint="eastAsia" w:ascii="Times New Roman" w:hAnsi="Times New Roman" w:eastAsia="楷体" w:cs="Times New Roman"/>
          <w:b/>
          <w:bCs/>
          <w:color w:val="0000FF"/>
          <w:sz w:val="24"/>
          <w:szCs w:val="28"/>
          <w:shd w:val="clear" w:color="auto" w:fill="FFFFFF"/>
          <w:lang w:val="en-US" w:eastAsia="zh-CN"/>
        </w:rPr>
        <w:t>致关心和支持2025“减贫营”的朋友们</w:t>
      </w:r>
      <w:r>
        <w:rPr>
          <w:rFonts w:ascii="Times New Roman" w:hAnsi="Times New Roman" w:eastAsia="楷体" w:cs="Times New Roman"/>
          <w:b/>
          <w:bCs/>
          <w:color w:val="0000FF"/>
          <w:sz w:val="24"/>
          <w:szCs w:val="28"/>
          <w:shd w:val="clear" w:color="auto" w:fill="FFFFFF"/>
        </w:rPr>
        <w:t>：</w:t>
      </w:r>
    </w:p>
    <w:p w14:paraId="3D948C34">
      <w:pPr>
        <w:spacing w:line="360" w:lineRule="auto"/>
        <w:ind w:firstLine="480" w:firstLineChars="200"/>
        <w:rPr>
          <w:rFonts w:ascii="Times New Roman" w:hAnsi="Times New Roman" w:eastAsia="楷体" w:cs="Times New Roman"/>
          <w:color w:val="0000FF"/>
          <w:sz w:val="24"/>
          <w:szCs w:val="28"/>
        </w:rPr>
      </w:pPr>
      <w:r>
        <w:rPr>
          <w:rFonts w:ascii="Times New Roman" w:hAnsi="Times New Roman" w:eastAsia="楷体" w:cs="Times New Roman"/>
          <w:color w:val="0000FF"/>
          <w:sz w:val="24"/>
          <w:szCs w:val="28"/>
        </w:rPr>
        <w:t>在</w:t>
      </w:r>
      <w:r>
        <w:rPr>
          <w:rFonts w:hint="eastAsia" w:ascii="Times New Roman" w:hAnsi="Times New Roman" w:eastAsia="楷体" w:cs="Times New Roman"/>
          <w:color w:val="0000FF"/>
          <w:sz w:val="24"/>
          <w:szCs w:val="28"/>
          <w:lang w:val="en-US" w:eastAsia="zh-CN"/>
        </w:rPr>
        <w:t>您的关心和</w:t>
      </w:r>
      <w:r>
        <w:rPr>
          <w:rFonts w:ascii="Times New Roman" w:hAnsi="Times New Roman" w:eastAsia="楷体" w:cs="Times New Roman"/>
          <w:color w:val="0000FF"/>
          <w:sz w:val="24"/>
          <w:szCs w:val="28"/>
        </w:rPr>
        <w:t>支持</w:t>
      </w:r>
      <w:r>
        <w:rPr>
          <w:rFonts w:hint="eastAsia" w:ascii="Times New Roman" w:hAnsi="Times New Roman" w:eastAsia="楷体" w:cs="Times New Roman"/>
          <w:color w:val="0000FF"/>
          <w:sz w:val="24"/>
          <w:szCs w:val="28"/>
          <w:lang w:val="en-US" w:eastAsia="zh-CN"/>
        </w:rPr>
        <w:t>下</w:t>
      </w:r>
      <w:r>
        <w:rPr>
          <w:rFonts w:ascii="Times New Roman" w:hAnsi="Times New Roman" w:eastAsia="楷体" w:cs="Times New Roman"/>
          <w:color w:val="0000FF"/>
          <w:sz w:val="24"/>
          <w:szCs w:val="28"/>
        </w:rPr>
        <w:t>，2025年4月至8月，由清华大学、巴西里约热内卢联邦大学、智利天主教大学、智利大学、秘鲁太平洋大学及五矿秘鲁邦巴斯公司共同主办的“中拉青年应对全球挑战——2025减贫营”（以下简称“2025减贫营”）主体赛事成功举办。本赛事得到了中国驻巴西大使馆、中国驻里约热内卢总领事馆、巴西驻中国大使馆、中国驻智利大使馆、智利驻中国大使馆、中国驻秘鲁大使馆的鼎力支持，吸引了来自政企学各界的广泛关注，在巴西、智利、秘鲁等拉美国家中形成了较高的影响力。</w:t>
      </w:r>
    </w:p>
    <w:p w14:paraId="06D38022">
      <w:pPr>
        <w:spacing w:line="360" w:lineRule="auto"/>
        <w:ind w:firstLine="480" w:firstLineChars="200"/>
        <w:rPr>
          <w:rFonts w:ascii="Times New Roman" w:hAnsi="Times New Roman" w:eastAsia="楷体" w:cs="Times New Roman"/>
          <w:color w:val="0000FF"/>
          <w:sz w:val="24"/>
          <w:szCs w:val="28"/>
        </w:rPr>
      </w:pPr>
      <w:r>
        <w:rPr>
          <w:rFonts w:hint="eastAsia" w:ascii="Times New Roman" w:hAnsi="Times New Roman" w:eastAsia="楷体" w:cs="Times New Roman"/>
          <w:color w:val="0000FF"/>
          <w:sz w:val="24"/>
          <w:szCs w:val="28"/>
        </w:rPr>
        <w:t>为系统回顾并分享项目成果，清华大学拉美中心特将赛事全过程梳理汇总于本报告。我谨代表项目组，从活动背景与意义、合作网络、赛事亮点与创新实践、获奖团队及项目介绍、活动成效与深远影响以及总结与未来展望等多个维度，向您呈报“2025减贫营”的开展情况。</w:t>
      </w:r>
    </w:p>
    <w:p w14:paraId="7AE758A3">
      <w:pPr>
        <w:spacing w:line="360" w:lineRule="auto"/>
        <w:ind w:firstLine="480" w:firstLineChars="200"/>
        <w:rPr>
          <w:rFonts w:ascii="Times New Roman" w:hAnsi="Times New Roman" w:eastAsia="楷体" w:cs="Times New Roman"/>
          <w:color w:val="0000FF"/>
          <w:sz w:val="24"/>
          <w:szCs w:val="28"/>
        </w:rPr>
      </w:pPr>
    </w:p>
    <w:p w14:paraId="18405F93">
      <w:pPr>
        <w:spacing w:line="360" w:lineRule="auto"/>
        <w:ind w:firstLine="480" w:firstLineChars="200"/>
        <w:jc w:val="right"/>
        <w:outlineLvl w:val="0"/>
        <w:rPr>
          <w:rFonts w:ascii="Times New Roman" w:hAnsi="Times New Roman" w:eastAsia="楷体" w:cs="Times New Roman"/>
          <w:color w:val="0000FF"/>
          <w:sz w:val="24"/>
          <w:szCs w:val="28"/>
        </w:rPr>
      </w:pPr>
      <w:bookmarkStart w:id="15" w:name="_Toc26684"/>
      <w:r>
        <w:rPr>
          <w:rFonts w:hint="eastAsia" w:ascii="Times New Roman" w:hAnsi="Times New Roman" w:eastAsia="楷体" w:cs="Times New Roman"/>
          <w:color w:val="0000FF"/>
          <w:sz w:val="24"/>
          <w:szCs w:val="28"/>
        </w:rPr>
        <w:t>清华大学拉美中心主任</w:t>
      </w:r>
      <w:bookmarkEnd w:id="15"/>
    </w:p>
    <w:p w14:paraId="1C94F0BA">
      <w:pPr>
        <w:spacing w:line="360" w:lineRule="auto"/>
        <w:ind w:firstLine="480" w:firstLineChars="200"/>
        <w:jc w:val="right"/>
        <w:rPr>
          <w:rFonts w:hint="eastAsia" w:ascii="Times New Roman" w:hAnsi="Times New Roman" w:eastAsia="楷体" w:cs="Times New Roman"/>
          <w:color w:val="0000FF"/>
          <w:sz w:val="24"/>
          <w:szCs w:val="28"/>
        </w:rPr>
      </w:pPr>
      <w:r>
        <w:rPr>
          <w:rFonts w:hint="eastAsia" w:ascii="Times New Roman" w:hAnsi="Times New Roman" w:eastAsia="楷体" w:cs="Times New Roman"/>
          <w:color w:val="0000FF"/>
          <w:sz w:val="24"/>
          <w:szCs w:val="28"/>
        </w:rPr>
        <w:t>清华大学经济管理学院中国-拉丁美洲管理研究中心主任</w:t>
      </w:r>
    </w:p>
    <w:p w14:paraId="335DC7E8">
      <w:pPr>
        <w:spacing w:line="360" w:lineRule="auto"/>
        <w:ind w:firstLine="480" w:firstLineChars="200"/>
        <w:jc w:val="right"/>
        <w:rPr>
          <w:rFonts w:ascii="Times New Roman" w:hAnsi="Times New Roman" w:eastAsia="楷体" w:cs="Times New Roman"/>
          <w:color w:val="0000FF"/>
          <w:sz w:val="24"/>
          <w:szCs w:val="28"/>
        </w:rPr>
      </w:pPr>
      <w:r>
        <w:rPr>
          <w:rFonts w:hint="eastAsia" w:ascii="Times New Roman" w:hAnsi="Times New Roman" w:eastAsia="楷体" w:cs="Times New Roman"/>
          <w:color w:val="0000FF"/>
          <w:sz w:val="24"/>
          <w:szCs w:val="28"/>
        </w:rPr>
        <w:t>陈涛涛</w:t>
      </w:r>
    </w:p>
    <w:p w14:paraId="789F55B4">
      <w:pPr>
        <w:spacing w:line="360" w:lineRule="auto"/>
        <w:ind w:firstLine="480" w:firstLineChars="200"/>
        <w:jc w:val="right"/>
        <w:rPr>
          <w:rFonts w:ascii="Times New Roman" w:hAnsi="Times New Roman" w:eastAsia="楷体" w:cs="Times New Roman"/>
          <w:color w:val="0000FF"/>
          <w:sz w:val="24"/>
          <w:szCs w:val="28"/>
        </w:rPr>
      </w:pPr>
      <w:r>
        <w:rPr>
          <w:rFonts w:hint="eastAsia" w:ascii="Times New Roman" w:hAnsi="Times New Roman" w:eastAsia="楷体" w:cs="Times New Roman"/>
          <w:color w:val="0000FF"/>
          <w:sz w:val="24"/>
          <w:szCs w:val="28"/>
        </w:rPr>
        <w:t>2025年</w:t>
      </w:r>
      <w:r>
        <w:rPr>
          <w:rFonts w:hint="eastAsia" w:ascii="Times New Roman" w:hAnsi="Times New Roman" w:eastAsia="楷体" w:cs="Times New Roman"/>
          <w:color w:val="0000FF"/>
          <w:sz w:val="24"/>
          <w:szCs w:val="28"/>
          <w:lang w:val="en-US" w:eastAsia="zh-CN"/>
        </w:rPr>
        <w:t>10</w:t>
      </w:r>
      <w:r>
        <w:rPr>
          <w:rFonts w:hint="eastAsia" w:ascii="Times New Roman" w:hAnsi="Times New Roman" w:eastAsia="楷体" w:cs="Times New Roman"/>
          <w:color w:val="0000FF"/>
          <w:sz w:val="24"/>
          <w:szCs w:val="28"/>
        </w:rPr>
        <w:t>月</w:t>
      </w:r>
    </w:p>
    <w:p w14:paraId="13A7C94A">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楷体" w:cs="Times New Roman"/>
          <w:color w:val="000000" w:themeColor="text1"/>
          <w:sz w:val="24"/>
          <w:szCs w:val="28"/>
          <w14:textFill>
            <w14:solidFill>
              <w14:schemeClr w14:val="tx1"/>
            </w14:solidFill>
          </w14:textFill>
        </w:rPr>
        <w:br w:type="page"/>
      </w:r>
    </w:p>
    <w:p w14:paraId="26E1C8C4">
      <w:pPr>
        <w:pStyle w:val="22"/>
        <w:jc w:val="center"/>
        <w:rPr>
          <w:rFonts w:ascii="黑体" w:hAnsi="黑体" w:eastAsia="黑体" w:cs="黑体"/>
        </w:rPr>
      </w:pPr>
      <w:bookmarkStart w:id="16" w:name="_Toc16656"/>
      <w:r>
        <w:rPr>
          <w:rFonts w:ascii="黑体" w:hAnsi="黑体" w:eastAsia="黑体" w:cs="黑体"/>
        </w:rPr>
        <w:t>一、活动背景与意义</w:t>
      </w:r>
      <w:bookmarkEnd w:id="2"/>
      <w:bookmarkEnd w:id="3"/>
      <w:bookmarkEnd w:id="4"/>
      <w:bookmarkEnd w:id="5"/>
      <w:bookmarkEnd w:id="6"/>
      <w:bookmarkEnd w:id="7"/>
      <w:bookmarkEnd w:id="8"/>
      <w:bookmarkEnd w:id="9"/>
      <w:bookmarkEnd w:id="10"/>
      <w:bookmarkEnd w:id="11"/>
      <w:bookmarkEnd w:id="12"/>
      <w:bookmarkEnd w:id="13"/>
      <w:bookmarkEnd w:id="14"/>
      <w:bookmarkEnd w:id="16"/>
    </w:p>
    <w:p w14:paraId="3EDFD97A">
      <w:pPr>
        <w:spacing w:line="360" w:lineRule="auto"/>
        <w:ind w:firstLine="422" w:firstLineChars="200"/>
        <w:rPr>
          <w:rFonts w:hint="eastAsia" w:ascii="仿宋" w:hAnsi="仿宋" w:eastAsia="仿宋" w:cs="仿宋"/>
        </w:rPr>
      </w:pPr>
      <w:r>
        <w:rPr>
          <w:rFonts w:hint="eastAsia" w:ascii="仿宋" w:hAnsi="仿宋" w:eastAsia="仿宋" w:cs="仿宋"/>
          <w:b/>
          <w:bCs/>
        </w:rPr>
        <w:t>减贫</w:t>
      </w:r>
      <w:r>
        <w:rPr>
          <w:rFonts w:hint="eastAsia" w:ascii="仿宋" w:hAnsi="仿宋" w:eastAsia="仿宋" w:cs="仿宋"/>
        </w:rPr>
        <w:t>，是发展中国家的普遍挑战，也是全世界的共同挑战。在全球面临着百年之未有大变局的严峻形势下，减贫俨然成为全球亟待迅速应对的共同挑战。习近平总书记曾多次在不同级别的会议中发表与全球携手应对减贫挑战相关的讲话，早在2015年减贫与发展高层论坛中就呼吁“共建没有贫困的人类命运共同体，推动全球减贫进程和国际合作”。近几年来，中拉关系进入全面、快速发展的新时期，习近平总书记及拉美国家元首也在多个场合中强调中拉减贫合作的重要意义。2023年，巴西总统卢拉访华时提到“巴西希望通过与中国深化合作帮助解决脱贫等问题”，会谈后习近平总书记同卢拉共同签署贸易投资、减贫等领域的多项双边合作文件。2025年，《第四届中拉合作论坛部长级会议北京宣言》进一步呼吁深化减贫领域的合作与交流，为项目在拉美乃至全球范围内拓展影响力提供了更大信心。</w:t>
      </w:r>
    </w:p>
    <w:p w14:paraId="2CA6E1BB">
      <w:pPr>
        <w:spacing w:line="360" w:lineRule="auto"/>
        <w:ind w:firstLine="422" w:firstLineChars="200"/>
        <w:rPr>
          <w:rFonts w:hint="eastAsia" w:ascii="仿宋" w:hAnsi="仿宋" w:eastAsia="仿宋" w:cs="仿宋"/>
        </w:rPr>
      </w:pPr>
      <w:r>
        <w:rPr>
          <w:rFonts w:hint="eastAsia" w:ascii="仿宋" w:hAnsi="仿宋" w:eastAsia="仿宋" w:cs="仿宋"/>
          <w:b/>
          <w:bCs/>
        </w:rPr>
        <w:t>青年，</w:t>
      </w:r>
      <w:r>
        <w:rPr>
          <w:rFonts w:hint="eastAsia" w:ascii="仿宋" w:hAnsi="仿宋" w:eastAsia="仿宋" w:cs="仿宋"/>
        </w:rPr>
        <w:t>代表着国家的未来，作为中国顶尖学府的清华学子，更应具备勇气与担当，积极面对和应对现实世界的难题与挑战。正如习近平总书记对青年一代的期望，“国之交在于民相亲，民相亲要从青年做起。我们要深化交流互鉴，以包容的胸怀构建和而不同的精神家园”。</w:t>
      </w:r>
    </w:p>
    <w:p w14:paraId="192E968E">
      <w:pPr>
        <w:spacing w:line="360" w:lineRule="auto"/>
        <w:ind w:firstLine="420" w:firstLineChars="200"/>
        <w:rPr>
          <w:rFonts w:hint="eastAsia" w:ascii="仿宋" w:hAnsi="仿宋" w:eastAsia="仿宋" w:cs="仿宋"/>
        </w:rPr>
      </w:pPr>
      <w:r>
        <w:rPr>
          <w:rFonts w:hint="eastAsia" w:ascii="仿宋" w:hAnsi="仿宋" w:eastAsia="仿宋" w:cs="仿宋"/>
        </w:rPr>
        <w:t>有鉴于此，本项目把</w:t>
      </w:r>
      <w:r>
        <w:rPr>
          <w:rFonts w:hint="eastAsia" w:ascii="仿宋" w:hAnsi="仿宋" w:eastAsia="仿宋" w:cs="仿宋"/>
          <w:b/>
          <w:bCs/>
        </w:rPr>
        <w:t>中国、智利、巴西、秘鲁</w:t>
      </w:r>
      <w:r>
        <w:rPr>
          <w:rFonts w:hint="eastAsia" w:ascii="仿宋" w:hAnsi="仿宋" w:eastAsia="仿宋" w:cs="仿宋"/>
        </w:rPr>
        <w:t>等拉美国家最顶尖高校的青年汇聚一堂，共同应对“贫穷”这个世界性的难题。同学们虽然来自不同国家、不同文化、不同专业，但通过“减贫”这个使命走到一起，以减贫赛事的形式，观察不同背景下的“贫”的现象，基于自身专业视角，实地探访共同探讨实现减贫的条件，彼此学习，彼此借鉴，并最终形成各专业领域的解决方案。在深刻理解现实世界里贫困问题的同时，实现了文化交流，文明互鉴，提升和培养了青年学子的全球胜任力，努力践行了总书记对青年的期望“我们要携手世界青年，以青春的活力促进世界和平与发展”！</w:t>
      </w:r>
    </w:p>
    <w:p w14:paraId="2B529456">
      <w:pPr>
        <w:spacing w:line="360" w:lineRule="auto"/>
        <w:ind w:firstLine="420" w:firstLineChars="200"/>
        <w:rPr>
          <w:rFonts w:hint="eastAsia" w:ascii="仿宋" w:hAnsi="仿宋" w:eastAsia="仿宋" w:cs="仿宋"/>
        </w:rPr>
      </w:pPr>
      <w:r>
        <w:rPr>
          <w:rFonts w:hint="eastAsia" w:ascii="仿宋" w:hAnsi="仿宋" w:eastAsia="仿宋" w:cs="仿宋"/>
        </w:rPr>
        <w:t>清华大学，作为一所具有国际影响力的顶尖学府，有责任和义务为全球减贫事业贡献力量，以大学影响力、合作广泛性、科研专业性、经验创新性推动国际青年减贫合作。2024年，清华大学拉美中心、清华大学经管学院中国-拉丁美洲管理研究中心以及清华大学学生全球胜任力发展指导中心协同拉美高校合作伙伴，在中国（清华）、巴西、智利成功发起并开展了“中拉青年应对全球挑战——2024减贫营”项目（以下或称“减贫营”），在中拉掀起了以大学为主体的减贫对话热潮。同年11月，中国国家主席习近平赴巴西出席二十国集团（G20）领导人第十九次峰会并进行国事访问期间，清华大学党委书记邱勇与巴西里约热内卢联邦大学校长共同签署了两校关于“中拉青年应对全球挑战”项目的合作协议，该协议被纳入习近平总书记访问巴西的成果清单，成为清华大学牵头推动的中拉共赢发展的标志性项目，也被中拉主流媒体誉为“全球治理的青春力量”。</w:t>
      </w:r>
    </w:p>
    <w:p w14:paraId="1A117D6A">
      <w:pPr>
        <w:spacing w:line="360" w:lineRule="auto"/>
        <w:ind w:firstLine="420" w:firstLineChars="200"/>
        <w:rPr>
          <w:rFonts w:hint="eastAsia" w:ascii="仿宋" w:hAnsi="仿宋" w:eastAsia="仿宋" w:cs="仿宋"/>
        </w:rPr>
      </w:pPr>
      <w:r>
        <w:rPr>
          <w:rFonts w:hint="eastAsia" w:ascii="仿宋" w:hAnsi="仿宋" w:eastAsia="仿宋" w:cs="仿宋"/>
        </w:rPr>
        <w:t>承继首期项目的示范效应，“减贫营”责任教授、清华大学拉美中心主任陈涛涛教授于去年11月启动筹备“2025减贫营”，各项工作有序开展，目前赛事主体（除拉美获胜队学生于2026年1月来华文化浸润）均已完成，我们致力于汇聚中拉青年智慧，持续为构建更加包容、可持续的全球发展格局贡献力量。</w:t>
      </w:r>
    </w:p>
    <w:p w14:paraId="2C04FAA4">
      <w:pPr>
        <w:spacing w:line="360" w:lineRule="auto"/>
        <w:ind w:firstLine="422" w:firstLineChars="200"/>
        <w:rPr>
          <w:rFonts w:hint="eastAsia" w:ascii="仿宋" w:hAnsi="仿宋" w:eastAsia="仿宋" w:cs="仿宋"/>
          <w:b/>
          <w:bCs/>
        </w:rPr>
      </w:pPr>
      <w:r>
        <w:rPr>
          <w:rFonts w:hint="eastAsia" w:ascii="仿宋" w:hAnsi="仿宋" w:eastAsia="仿宋" w:cs="仿宋"/>
          <w:b/>
          <w:bCs/>
        </w:rPr>
        <w:t>本项目长远而深刻的意义在于：</w:t>
      </w:r>
    </w:p>
    <w:p w14:paraId="561022B8">
      <w:pPr>
        <w:spacing w:line="360" w:lineRule="auto"/>
        <w:ind w:firstLine="420"/>
        <w:rPr>
          <w:rFonts w:hint="eastAsia" w:ascii="仿宋" w:hAnsi="仿宋" w:eastAsia="仿宋" w:cs="仿宋"/>
        </w:rPr>
      </w:pPr>
      <w:bookmarkStart w:id="17" w:name="_Hlk207043827"/>
      <w:r>
        <w:rPr>
          <w:rFonts w:hint="eastAsia" w:ascii="仿宋" w:hAnsi="仿宋" w:eastAsia="仿宋" w:cs="仿宋"/>
        </w:rPr>
        <w:t>➢</w:t>
      </w:r>
      <w:bookmarkEnd w:id="17"/>
      <w:bookmarkStart w:id="18" w:name="_Toc2827"/>
      <w:bookmarkStart w:id="19" w:name="_Toc17902"/>
      <w:bookmarkStart w:id="20" w:name="_Toc8254"/>
      <w:bookmarkStart w:id="21" w:name="_Toc18279"/>
      <w:bookmarkStart w:id="22" w:name="_Toc8447"/>
      <w:bookmarkStart w:id="23" w:name="_Toc10816"/>
      <w:bookmarkStart w:id="24" w:name="_Toc14630"/>
      <w:bookmarkStart w:id="25" w:name="_Toc25084"/>
      <w:bookmarkStart w:id="26" w:name="_Toc22387"/>
      <w:bookmarkStart w:id="27" w:name="_Toc8908"/>
      <w:bookmarkStart w:id="28" w:name="_Toc29983"/>
      <w:bookmarkStart w:id="29" w:name="_Toc1384"/>
      <w:bookmarkStart w:id="30" w:name="_Toc16229"/>
      <w:r>
        <w:rPr>
          <w:rFonts w:hint="eastAsia" w:ascii="仿宋" w:hAnsi="仿宋" w:eastAsia="仿宋" w:cs="仿宋"/>
        </w:rPr>
        <w:t>对于</w:t>
      </w:r>
      <w:r>
        <w:rPr>
          <w:rFonts w:hint="eastAsia" w:ascii="仿宋" w:hAnsi="仿宋" w:eastAsia="仿宋" w:cs="仿宋"/>
          <w:b/>
          <w:bCs/>
        </w:rPr>
        <w:t>中拉合作</w:t>
      </w:r>
      <w:r>
        <w:rPr>
          <w:rFonts w:hint="eastAsia" w:ascii="仿宋" w:hAnsi="仿宋" w:eastAsia="仿宋" w:cs="仿宋"/>
        </w:rPr>
        <w:t>而言，“减贫营”能够为中拉减贫成果及经验的跨国交流提供平台，通过构建政产学多主体、宽领域的减贫对话合作网络，驱动青年学子形成跨文化、跨学科、可复制、落地性强的减贫方案，从而为推动中拉国家间文明互鉴和共赢发展创造更多机会；</w:t>
      </w:r>
    </w:p>
    <w:p w14:paraId="4410CF13">
      <w:pPr>
        <w:spacing w:line="360" w:lineRule="auto"/>
        <w:ind w:firstLine="420"/>
        <w:rPr>
          <w:rFonts w:hint="eastAsia" w:ascii="仿宋" w:hAnsi="仿宋" w:eastAsia="仿宋" w:cs="仿宋"/>
        </w:rPr>
      </w:pPr>
      <w:r>
        <w:rPr>
          <w:rFonts w:hint="eastAsia" w:ascii="仿宋" w:hAnsi="仿宋" w:eastAsia="仿宋" w:cs="仿宋"/>
        </w:rPr>
        <w:t>➢对于</w:t>
      </w:r>
      <w:r>
        <w:rPr>
          <w:rFonts w:hint="eastAsia" w:ascii="仿宋" w:hAnsi="仿宋" w:eastAsia="仿宋" w:cs="仿宋"/>
          <w:b/>
          <w:bCs/>
        </w:rPr>
        <w:t>中拉大学</w:t>
      </w:r>
      <w:r>
        <w:rPr>
          <w:rFonts w:hint="eastAsia" w:ascii="仿宋" w:hAnsi="仿宋" w:eastAsia="仿宋" w:cs="仿宋"/>
        </w:rPr>
        <w:t>而言，一方面，“减贫营”以清华大学、智利天主教大学、巴西里约热内卢联邦大学、秘鲁太平洋大学共建的《中拉青年应对全球挑战》跨国课程为资源载体，在课程中布局赛事、论坛、基地调研等内容，促进不同大学在减贫领域的教育资源整合与优势互补，具有首创性与推广价值；另一方面，有助于培育学生的全球胜任力，为培养中拉友好往来使者提供全新发展思路；</w:t>
      </w:r>
    </w:p>
    <w:p w14:paraId="53E4EAC3">
      <w:pPr>
        <w:spacing w:line="360" w:lineRule="auto"/>
        <w:ind w:firstLine="420"/>
        <w:rPr>
          <w:rFonts w:ascii="仿宋" w:hAnsi="仿宋" w:eastAsia="仿宋" w:cs="仿宋"/>
        </w:rPr>
      </w:pPr>
      <w:bookmarkStart w:id="31" w:name="_Hlk209601592"/>
      <w:r>
        <w:rPr>
          <w:rFonts w:hint="eastAsia" w:ascii="仿宋" w:hAnsi="仿宋" w:eastAsia="仿宋" w:cs="仿宋"/>
        </w:rPr>
        <w:t>➢对于</w:t>
      </w:r>
      <w:bookmarkEnd w:id="31"/>
      <w:r>
        <w:rPr>
          <w:rFonts w:hint="eastAsia" w:ascii="仿宋" w:hAnsi="仿宋" w:eastAsia="仿宋" w:cs="仿宋"/>
          <w:b/>
          <w:bCs/>
        </w:rPr>
        <w:t>青年学子</w:t>
      </w:r>
      <w:r>
        <w:rPr>
          <w:rFonts w:hint="eastAsia" w:ascii="仿宋" w:hAnsi="仿宋" w:eastAsia="仿宋" w:cs="仿宋"/>
        </w:rPr>
        <w:t>而言，青年是推动减贫事业的新生力量，“减贫营”能够为中拉学子提供宝贵的全球胜任力培养机会，以跨国文明互鉴、专业赋能、丰富的赛事机制提升学生应对减贫挑战的能力，推动中拉青年携手，共同为全球发展注入青年智慧与活力。</w:t>
      </w:r>
    </w:p>
    <w:p w14:paraId="699B2E60">
      <w:pPr>
        <w:spacing w:line="360" w:lineRule="auto"/>
        <w:ind w:firstLine="420"/>
        <w:rPr>
          <w:rFonts w:hint="eastAsia" w:ascii="仿宋" w:hAnsi="仿宋" w:eastAsia="仿宋" w:cs="仿宋"/>
        </w:rPr>
      </w:pPr>
      <w:r>
        <w:rPr>
          <w:rFonts w:hint="eastAsia" w:ascii="仿宋" w:hAnsi="仿宋" w:eastAsia="仿宋" w:cs="仿宋"/>
        </w:rPr>
        <w:t>➢对于</w:t>
      </w:r>
      <w:r>
        <w:rPr>
          <w:rFonts w:hint="eastAsia" w:ascii="仿宋" w:hAnsi="仿宋" w:eastAsia="仿宋" w:cs="仿宋"/>
          <w:b/>
          <w:bCs/>
        </w:rPr>
        <w:t>支持和参与项目的中资企业</w:t>
      </w:r>
      <w:r>
        <w:rPr>
          <w:rFonts w:hint="eastAsia" w:ascii="仿宋" w:hAnsi="仿宋" w:eastAsia="仿宋" w:cs="仿宋"/>
        </w:rPr>
        <w:t>而言，该项目为企业搭建了深入理解东道国发展现状、融入当地社会、履行企业社会责任的平台，企业既可以通过支持中拉青年的减贫实践而贡献于中拉友谊，也可以通过助力减贫项目的实施直接服务于当地社区、造福当地人民。</w:t>
      </w:r>
    </w:p>
    <w:p w14:paraId="100F1309">
      <w:pPr>
        <w:spacing w:line="360" w:lineRule="auto"/>
        <w:ind w:firstLine="420"/>
        <w:rPr>
          <w:rFonts w:hint="eastAsia" w:ascii="仿宋" w:hAnsi="仿宋" w:eastAsia="仿宋" w:cs="仿宋"/>
        </w:rPr>
      </w:pPr>
      <w:r>
        <w:rPr>
          <w:rFonts w:hint="eastAsia" w:ascii="仿宋" w:hAnsi="仿宋" w:eastAsia="仿宋" w:cs="仿宋"/>
        </w:rPr>
        <w:t>2025“减贫营”进一步响应了中拉元首关于促进中拉友好往来、文明互鉴的指示，以2024“减贫营”为基础加大创新力度，通过整合中拉高校资源、政产学结合，推动项目挖掘与孵化，多学科合作，吸引更多优质生源与导师，赋能优质减贫成果的开发与落地。</w:t>
      </w:r>
    </w:p>
    <w:p w14:paraId="2D59EBBB">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6DB525E5">
      <w:pPr>
        <w:pStyle w:val="22"/>
        <w:jc w:val="center"/>
        <w:rPr>
          <w:rFonts w:ascii="黑体" w:hAnsi="黑体" w:eastAsia="黑体" w:cs="黑体"/>
        </w:rPr>
      </w:pPr>
      <w:bookmarkStart w:id="32" w:name="_Toc20909"/>
      <w:bookmarkStart w:id="33" w:name="OLE_LINK7"/>
      <w:r>
        <w:rPr>
          <w:rFonts w:ascii="黑体" w:hAnsi="黑体" w:eastAsia="黑体" w:cs="黑体"/>
        </w:rPr>
        <w:t>二、合作网络</w:t>
      </w:r>
      <w:bookmarkEnd w:id="18"/>
      <w:bookmarkEnd w:id="19"/>
      <w:bookmarkEnd w:id="20"/>
      <w:bookmarkEnd w:id="21"/>
      <w:bookmarkEnd w:id="22"/>
      <w:bookmarkEnd w:id="23"/>
      <w:bookmarkEnd w:id="24"/>
      <w:bookmarkEnd w:id="25"/>
      <w:bookmarkEnd w:id="26"/>
      <w:bookmarkEnd w:id="27"/>
      <w:bookmarkEnd w:id="28"/>
      <w:bookmarkEnd w:id="29"/>
      <w:bookmarkEnd w:id="30"/>
      <w:bookmarkEnd w:id="32"/>
    </w:p>
    <w:bookmarkEnd w:id="33"/>
    <w:p w14:paraId="597BAE89">
      <w:pPr>
        <w:numPr>
          <w:ilvl w:val="0"/>
          <w:numId w:val="1"/>
        </w:numPr>
        <w:spacing w:line="312" w:lineRule="auto"/>
        <w:rPr>
          <w:rFonts w:hint="eastAsia" w:ascii="仿宋" w:hAnsi="仿宋" w:eastAsia="仿宋" w:cs="仿宋"/>
          <w:color w:val="000000" w:themeColor="text1"/>
          <w:lang w:val="es-ES"/>
          <w14:textFill>
            <w14:solidFill>
              <w14:schemeClr w14:val="tx1"/>
            </w14:solidFill>
          </w14:textFill>
        </w:rPr>
      </w:pPr>
      <w:r>
        <w:rPr>
          <w:rStyle w:val="23"/>
          <w:rFonts w:hint="eastAsia" w:ascii="仿宋" w:hAnsi="仿宋" w:eastAsia="仿宋" w:cs="仿宋"/>
        </w:rPr>
        <w:t>参赛机构</w:t>
      </w:r>
    </w:p>
    <w:p w14:paraId="78E3B0C8">
      <w:pPr>
        <w:numPr>
          <w:ilvl w:val="0"/>
          <w:numId w:val="2"/>
        </w:numPr>
        <w:tabs>
          <w:tab w:val="left" w:pos="420"/>
        </w:tabs>
        <w:spacing w:line="312"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中国：清华大学</w:t>
      </w:r>
    </w:p>
    <w:p w14:paraId="5201E1E4">
      <w:pPr>
        <w:numPr>
          <w:ilvl w:val="255"/>
          <w:numId w:val="0"/>
        </w:numPr>
        <w:tabs>
          <w:tab w:val="left" w:pos="420"/>
        </w:tabs>
        <w:spacing w:line="312" w:lineRule="auto"/>
        <w:ind w:firstLine="840" w:firstLineChars="400"/>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s-ES"/>
          <w14:textFill>
            <w14:solidFill>
              <w14:schemeClr w14:val="tx1"/>
            </w14:solidFill>
          </w14:textFill>
        </w:rPr>
        <w:t>巴西：里约热内卢联邦大学</w:t>
      </w:r>
    </w:p>
    <w:p w14:paraId="2D43BDC6">
      <w:pPr>
        <w:numPr>
          <w:ilvl w:val="255"/>
          <w:numId w:val="0"/>
        </w:numPr>
        <w:tabs>
          <w:tab w:val="left" w:pos="420"/>
        </w:tabs>
        <w:spacing w:line="312" w:lineRule="auto"/>
        <w:ind w:firstLine="840" w:firstLineChars="400"/>
        <w:rPr>
          <w:rFonts w:hint="eastAsia" w:ascii="仿宋" w:hAnsi="仿宋" w:eastAsia="仿宋" w:cs="仿宋"/>
          <w:color w:val="000000" w:themeColor="text1"/>
          <w:shd w:val="pct15" w:color="auto" w:fill="FFFFFF"/>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s-ES"/>
          <w14:textFill>
            <w14:solidFill>
              <w14:schemeClr w14:val="tx1"/>
            </w14:solidFill>
          </w14:textFill>
        </w:rPr>
        <w:t>智利：智利天主教大学，智利大学</w:t>
      </w:r>
    </w:p>
    <w:p w14:paraId="1AD41585">
      <w:pPr>
        <w:numPr>
          <w:ilvl w:val="255"/>
          <w:numId w:val="0"/>
        </w:numPr>
        <w:tabs>
          <w:tab w:val="left" w:pos="420"/>
        </w:tabs>
        <w:spacing w:line="312" w:lineRule="auto"/>
        <w:ind w:firstLine="840" w:firstLineChars="400"/>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s-ES"/>
          <w14:textFill>
            <w14:solidFill>
              <w14:schemeClr w14:val="tx1"/>
            </w14:solidFill>
          </w14:textFill>
        </w:rPr>
        <w:t>秘鲁：秘鲁太平洋大学，五矿秘鲁邦巴斯公司</w:t>
      </w:r>
    </w:p>
    <w:p w14:paraId="554A58D2">
      <w:pPr>
        <w:tabs>
          <w:tab w:val="left" w:pos="420"/>
        </w:tabs>
        <w:spacing w:line="312" w:lineRule="auto"/>
        <w:rPr>
          <w:rFonts w:hint="eastAsia" w:ascii="仿宋" w:hAnsi="仿宋" w:eastAsia="仿宋" w:cs="仿宋"/>
          <w:color w:val="000000" w:themeColor="text1"/>
          <w:lang w:val="es-ES"/>
          <w14:textFill>
            <w14:solidFill>
              <w14:schemeClr w14:val="tx1"/>
            </w14:solidFill>
          </w14:textFill>
        </w:rPr>
      </w:pPr>
    </w:p>
    <w:p w14:paraId="203E5166">
      <w:pPr>
        <w:numPr>
          <w:ilvl w:val="0"/>
          <w:numId w:val="3"/>
        </w:numPr>
        <w:spacing w:line="312" w:lineRule="auto"/>
        <w:rPr>
          <w:rFonts w:hint="eastAsia" w:ascii="仿宋" w:hAnsi="仿宋" w:eastAsia="仿宋" w:cs="仿宋"/>
          <w:color w:val="000000" w:themeColor="text1"/>
          <w14:textFill>
            <w14:solidFill>
              <w14:schemeClr w14:val="tx1"/>
            </w14:solidFill>
          </w14:textFill>
        </w:rPr>
      </w:pPr>
      <w:bookmarkStart w:id="34" w:name="_Toc17337"/>
      <w:bookmarkStart w:id="35" w:name="_Toc20214"/>
      <w:bookmarkStart w:id="36" w:name="_Toc11989"/>
      <w:bookmarkStart w:id="37" w:name="_Toc10095"/>
      <w:r>
        <w:rPr>
          <w:rStyle w:val="23"/>
          <w:rFonts w:hint="eastAsia" w:ascii="仿宋" w:hAnsi="仿宋" w:eastAsia="仿宋" w:cs="仿宋"/>
        </w:rPr>
        <w:t>支持机构</w:t>
      </w:r>
      <w:bookmarkEnd w:id="34"/>
      <w:bookmarkEnd w:id="35"/>
      <w:bookmarkEnd w:id="36"/>
      <w:bookmarkEnd w:id="37"/>
    </w:p>
    <w:p w14:paraId="11C5791E">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中国驻巴西大使馆</w:t>
      </w:r>
    </w:p>
    <w:p w14:paraId="5FC43D2D">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中国驻里约热内卢总领事馆</w:t>
      </w:r>
    </w:p>
    <w:p w14:paraId="066BD9EB">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巴西驻中国大使馆</w:t>
      </w:r>
    </w:p>
    <w:p w14:paraId="7293B56E">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中国驻智利大使馆</w:t>
      </w:r>
    </w:p>
    <w:p w14:paraId="27A42B7B">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智利驻中国大使馆</w:t>
      </w:r>
    </w:p>
    <w:p w14:paraId="6024E486">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中国驻秘鲁大使馆</w:t>
      </w:r>
    </w:p>
    <w:p w14:paraId="025FD687">
      <w:pPr>
        <w:numPr>
          <w:ilvl w:val="255"/>
          <w:numId w:val="0"/>
        </w:numPr>
        <w:tabs>
          <w:tab w:val="left" w:pos="420"/>
        </w:tabs>
        <w:spacing w:line="360" w:lineRule="auto"/>
        <w:rPr>
          <w:rFonts w:hint="eastAsia" w:ascii="仿宋" w:hAnsi="仿宋" w:eastAsia="仿宋" w:cs="仿宋"/>
          <w:color w:val="000000" w:themeColor="text1"/>
          <w14:textFill>
            <w14:solidFill>
              <w14:schemeClr w14:val="tx1"/>
            </w14:solidFill>
          </w14:textFill>
        </w:rPr>
      </w:pPr>
    </w:p>
    <w:p w14:paraId="31B5B776">
      <w:pPr>
        <w:numPr>
          <w:ilvl w:val="0"/>
          <w:numId w:val="3"/>
        </w:numPr>
        <w:spacing w:line="360" w:lineRule="auto"/>
        <w:rPr>
          <w:rFonts w:hint="eastAsia" w:ascii="仿宋" w:hAnsi="仿宋" w:eastAsia="仿宋" w:cs="仿宋"/>
          <w:color w:val="000000" w:themeColor="text1"/>
          <w14:textFill>
            <w14:solidFill>
              <w14:schemeClr w14:val="tx1"/>
            </w14:solidFill>
          </w14:textFill>
        </w:rPr>
      </w:pPr>
      <w:r>
        <w:rPr>
          <w:rStyle w:val="23"/>
          <w:rFonts w:hint="eastAsia" w:ascii="仿宋" w:hAnsi="仿宋" w:eastAsia="仿宋" w:cs="仿宋"/>
        </w:rPr>
        <w:t>赞助机构</w:t>
      </w:r>
    </w:p>
    <w:p w14:paraId="234BE91C">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远景科技集团</w:t>
      </w:r>
    </w:p>
    <w:p w14:paraId="323AAD57">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智利CGE集团</w:t>
      </w:r>
    </w:p>
    <w:p w14:paraId="1018B81A">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五矿秘鲁邦巴斯公司</w:t>
      </w:r>
    </w:p>
    <w:p w14:paraId="1F5B7A97">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中国移动国际公司(智利)</w:t>
      </w:r>
    </w:p>
    <w:p w14:paraId="137AAEBA">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快手国际化事业部</w:t>
      </w:r>
    </w:p>
    <w:p w14:paraId="648DCE10">
      <w:pPr>
        <w:numPr>
          <w:ilvl w:val="0"/>
          <w:numId w:val="2"/>
        </w:num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r>
        <w:rPr>
          <w:rFonts w:hint="eastAsia" w:ascii="仿宋" w:hAnsi="仿宋" w:eastAsia="仿宋" w:cs="仿宋"/>
          <w:color w:val="000000" w:themeColor="text1"/>
          <w:lang w:val="es-ES"/>
          <w14:textFill>
            <w14:solidFill>
              <w14:schemeClr w14:val="tx1"/>
            </w14:solidFill>
          </w14:textFill>
        </w:rPr>
        <w:t>交通银行巴西子行(BOCOM BBM)</w:t>
      </w:r>
    </w:p>
    <w:p w14:paraId="2F273A5E">
      <w:pPr>
        <w:tabs>
          <w:tab w:val="left" w:pos="420"/>
        </w:tabs>
        <w:spacing w:line="360" w:lineRule="auto"/>
        <w:rPr>
          <w:rFonts w:hint="eastAsia" w:ascii="仿宋" w:hAnsi="仿宋" w:eastAsia="仿宋" w:cs="仿宋"/>
          <w:color w:val="000000" w:themeColor="text1"/>
          <w:lang w:val="es-ES"/>
          <w14:textFill>
            <w14:solidFill>
              <w14:schemeClr w14:val="tx1"/>
            </w14:solidFill>
          </w14:textFill>
        </w:rPr>
      </w:pPr>
    </w:p>
    <w:p w14:paraId="0EF6F9F9">
      <w:pPr>
        <w:numPr>
          <w:ilvl w:val="0"/>
          <w:numId w:val="3"/>
        </w:numPr>
        <w:spacing w:line="360" w:lineRule="auto"/>
        <w:rPr>
          <w:rFonts w:hint="eastAsia" w:ascii="仿宋" w:hAnsi="仿宋" w:eastAsia="仿宋" w:cs="仿宋"/>
          <w:color w:val="000000" w:themeColor="text1"/>
          <w14:textFill>
            <w14:solidFill>
              <w14:schemeClr w14:val="tx1"/>
            </w14:solidFill>
          </w14:textFill>
        </w:rPr>
      </w:pPr>
      <w:bookmarkStart w:id="38" w:name="_Toc22711"/>
      <w:bookmarkStart w:id="39" w:name="_Toc24390"/>
      <w:bookmarkStart w:id="40" w:name="_Toc11610"/>
      <w:bookmarkStart w:id="41" w:name="_Toc14374"/>
      <w:r>
        <w:rPr>
          <w:rStyle w:val="23"/>
          <w:rFonts w:hint="eastAsia" w:ascii="仿宋" w:hAnsi="仿宋" w:eastAsia="仿宋" w:cs="仿宋"/>
        </w:rPr>
        <w:t>合作对话、案例研究与实地调研的支持单位</w:t>
      </w:r>
      <w:bookmarkEnd w:id="38"/>
      <w:bookmarkEnd w:id="39"/>
      <w:bookmarkEnd w:id="40"/>
      <w:bookmarkEnd w:id="41"/>
    </w:p>
    <w:p w14:paraId="33E0866C">
      <w:pPr>
        <w:numPr>
          <w:ilvl w:val="0"/>
          <w:numId w:val="2"/>
        </w:numPr>
        <w:tabs>
          <w:tab w:val="left" w:pos="420"/>
        </w:tabs>
        <w:spacing w:line="360" w:lineRule="auto"/>
        <w:rPr>
          <w:rFonts w:hint="eastAsia" w:ascii="仿宋" w:hAnsi="仿宋" w:eastAsia="仿宋" w:cs="仿宋"/>
          <w:lang w:val="es-ES"/>
        </w:rPr>
      </w:pPr>
      <w:r>
        <w:rPr>
          <w:rFonts w:hint="eastAsia" w:ascii="仿宋" w:hAnsi="仿宋" w:eastAsia="仿宋" w:cs="仿宋"/>
          <w:lang w:bidi="ar"/>
        </w:rPr>
        <w:t>实地调研/案例调研：巴西</w:t>
      </w:r>
      <w:r>
        <w:rPr>
          <w:rFonts w:hint="eastAsia" w:ascii="仿宋" w:hAnsi="仿宋" w:eastAsia="仿宋" w:cs="仿宋"/>
          <w:lang w:val="es-ES"/>
        </w:rPr>
        <w:t>里约热内卢科帕卡巴纳要塞乐团；中海油巴西公司</w:t>
      </w:r>
    </w:p>
    <w:p w14:paraId="4791A338">
      <w:pPr>
        <w:widowControl/>
        <w:numPr>
          <w:ilvl w:val="0"/>
          <w:numId w:val="2"/>
        </w:numPr>
        <w:tabs>
          <w:tab w:val="left" w:pos="420"/>
        </w:tabs>
        <w:spacing w:line="360" w:lineRule="auto"/>
        <w:jc w:val="left"/>
        <w:rPr>
          <w:rFonts w:hint="eastAsia" w:ascii="仿宋" w:hAnsi="仿宋" w:eastAsia="仿宋" w:cs="仿宋"/>
        </w:rPr>
      </w:pPr>
      <w:r>
        <w:rPr>
          <w:rFonts w:hint="eastAsia" w:ascii="仿宋" w:hAnsi="仿宋" w:eastAsia="仿宋" w:cs="仿宋"/>
          <w:lang w:bidi="ar"/>
        </w:rPr>
        <w:t>实地调研/案例调研：智利</w:t>
      </w:r>
      <w:r>
        <w:rPr>
          <w:rFonts w:hint="eastAsia" w:ascii="仿宋" w:hAnsi="仿宋" w:eastAsia="仿宋" w:cs="仿宋"/>
          <w:lang w:val="es-ES"/>
        </w:rPr>
        <w:t>洛埃斯佩霍市政府</w:t>
      </w:r>
    </w:p>
    <w:p w14:paraId="392F67D9">
      <w:pPr>
        <w:numPr>
          <w:ilvl w:val="0"/>
          <w:numId w:val="2"/>
        </w:numPr>
        <w:tabs>
          <w:tab w:val="left" w:pos="420"/>
        </w:tabs>
        <w:spacing w:line="360" w:lineRule="auto"/>
        <w:rPr>
          <w:rFonts w:hint="eastAsia" w:ascii="仿宋" w:hAnsi="仿宋" w:eastAsia="仿宋" w:cs="仿宋"/>
          <w:lang w:val="es-ES"/>
        </w:rPr>
      </w:pPr>
      <w:r>
        <w:rPr>
          <w:rFonts w:hint="eastAsia" w:ascii="仿宋" w:hAnsi="仿宋" w:eastAsia="仿宋" w:cs="仿宋"/>
        </w:rPr>
        <w:t>合作对话：</w:t>
      </w:r>
      <w:r>
        <w:rPr>
          <w:rFonts w:hint="eastAsia" w:ascii="仿宋" w:hAnsi="仿宋" w:eastAsia="仿宋" w:cs="仿宋"/>
          <w:lang w:val="es-ES"/>
        </w:rPr>
        <w:t>贵州省榕江县县委、村超办公室</w:t>
      </w:r>
    </w:p>
    <w:p w14:paraId="6AAFB4C4">
      <w:pPr>
        <w:widowControl/>
        <w:jc w:val="left"/>
        <w:rPr>
          <w:rFonts w:hint="eastAsia" w:ascii="黑体" w:hAnsi="黑体" w:eastAsia="黑体" w:cs="黑体"/>
          <w:highlight w:val="yellow"/>
        </w:rPr>
      </w:pPr>
      <w:r>
        <w:rPr>
          <w:rFonts w:hint="eastAsia" w:ascii="仿宋" w:hAnsi="仿宋" w:eastAsia="仿宋" w:cs="仿宋"/>
          <w:color w:val="000000" w:themeColor="text1"/>
          <w14:textFill>
            <w14:solidFill>
              <w14:schemeClr w14:val="tx1"/>
            </w14:solidFill>
          </w14:textFill>
        </w:rPr>
        <w:br w:type="page"/>
      </w:r>
      <w:bookmarkStart w:id="42" w:name="_Toc15276"/>
      <w:bookmarkStart w:id="43" w:name="_Toc31103"/>
      <w:bookmarkStart w:id="44" w:name="_Toc31277"/>
      <w:bookmarkStart w:id="45" w:name="_Toc15146"/>
      <w:bookmarkStart w:id="46" w:name="_Toc8869"/>
      <w:bookmarkStart w:id="47" w:name="_Toc22049"/>
      <w:bookmarkStart w:id="48" w:name="_Toc20854"/>
      <w:bookmarkStart w:id="49" w:name="_Toc27548"/>
      <w:bookmarkStart w:id="50" w:name="_Toc19227"/>
      <w:bookmarkStart w:id="51" w:name="_Toc6500"/>
      <w:bookmarkStart w:id="52" w:name="_Toc14457"/>
      <w:bookmarkStart w:id="53" w:name="_Toc19572"/>
      <w:bookmarkStart w:id="54" w:name="_Toc1006"/>
    </w:p>
    <w:p w14:paraId="71B6A13C">
      <w:pPr>
        <w:pStyle w:val="22"/>
        <w:jc w:val="center"/>
        <w:rPr>
          <w:rFonts w:ascii="黑体" w:hAnsi="黑体" w:eastAsia="黑体" w:cs="黑体"/>
        </w:rPr>
      </w:pPr>
      <w:bookmarkStart w:id="55" w:name="_Toc11315"/>
      <w:r>
        <w:rPr>
          <w:rFonts w:ascii="黑体" w:hAnsi="黑体" w:eastAsia="黑体" w:cs="黑体"/>
        </w:rPr>
        <w:t>三、创新赛事亮点 聚全球合力构建减贫新生态</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654796E">
      <w:pPr>
        <w:pStyle w:val="17"/>
        <w:tabs>
          <w:tab w:val="left" w:pos="420"/>
        </w:tabs>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2025减贫营”从赛区设置、跨国课程、全方位的“学-赛-研”训练机制等方面丰富活动形式，连接国际专家与青年，通过理论与实践结合、科研与赛事融通的方式，培养具有全球胜任力的青年人才，共同应对全球减贫挑战。本年度创新活动亮点如下：</w:t>
      </w:r>
    </w:p>
    <w:p w14:paraId="71C32389">
      <w:pPr>
        <w:pStyle w:val="24"/>
        <w:spacing w:before="156" w:beforeLines="50" w:after="156" w:afterLines="50"/>
        <w:rPr>
          <w:rFonts w:hint="eastAsia" w:ascii="仿宋" w:hAnsi="仿宋" w:eastAsia="仿宋" w:cs="仿宋"/>
        </w:rPr>
      </w:pPr>
      <w:r>
        <w:rPr>
          <w:rFonts w:hint="eastAsia" w:ascii="仿宋" w:hAnsi="仿宋" w:eastAsia="仿宋" w:cs="仿宋"/>
        </w:rPr>
        <w:t>1. 跨国双阶段赛制，双向赋能文明互鉴</w:t>
      </w:r>
    </w:p>
    <w:p w14:paraId="66372FE9">
      <w:pPr>
        <w:pStyle w:val="17"/>
        <w:tabs>
          <w:tab w:val="left" w:pos="420"/>
        </w:tabs>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活动设置中拉三大赛区，分为“初赛”和“跨国决赛”两个阶段，建立</w:t>
      </w:r>
      <w:r>
        <w:rPr>
          <w:rFonts w:hint="eastAsia" w:ascii="仿宋" w:hAnsi="仿宋" w:eastAsia="仿宋" w:cs="仿宋"/>
          <w:b/>
          <w:bCs/>
          <w:color w:val="000000" w:themeColor="text1"/>
          <w14:textFill>
            <w14:solidFill>
              <w14:schemeClr w14:val="tx1"/>
            </w14:solidFill>
          </w14:textFill>
        </w:rPr>
        <w:t>中国、巴西、智利</w:t>
      </w:r>
      <w:r>
        <w:rPr>
          <w:rFonts w:hint="eastAsia" w:ascii="仿宋" w:hAnsi="仿宋" w:eastAsia="仿宋" w:cs="仿宋"/>
          <w:color w:val="000000" w:themeColor="text1"/>
          <w14:textFill>
            <w14:solidFill>
              <w14:schemeClr w14:val="tx1"/>
            </w14:solidFill>
          </w14:textFill>
        </w:rPr>
        <w:t>三国高校主赛场一体化运作机制，来自秘鲁、厄瓜多尔等泛拉美国家的政产研学者参与其中，形成中拉减贫实践的交流纽带。初赛于2025年6月设置在中国（清华），以线上与线下相结合的模式开展，获胜队于2025年8月获全额支持前往巴西（里约热内卢联邦大学）、智利（智利天主教大学）参与决赛，获胜的拉美学生也将获得2026年1月来华研学的</w:t>
      </w:r>
      <w:r>
        <w:rPr>
          <w:rFonts w:hint="eastAsia" w:ascii="仿宋" w:hAnsi="仿宋" w:eastAsia="仿宋" w:cs="仿宋"/>
          <w:color w:val="000000" w:themeColor="text1"/>
          <w:shd w:val="pct15" w:color="auto" w:fill="FFFFFF"/>
          <w14:textFill>
            <w14:solidFill>
              <w14:schemeClr w14:val="tx1"/>
            </w14:solidFill>
          </w14:textFill>
        </w:rPr>
        <w:t>全额支持</w:t>
      </w:r>
      <w:r>
        <w:rPr>
          <w:rFonts w:hint="eastAsia" w:ascii="仿宋" w:hAnsi="仿宋" w:eastAsia="仿宋" w:cs="仿宋"/>
          <w:color w:val="000000" w:themeColor="text1"/>
          <w14:textFill>
            <w14:solidFill>
              <w14:schemeClr w14:val="tx1"/>
            </w14:solidFill>
          </w14:textFill>
        </w:rPr>
        <w:t>，通过文化浸润实现更深层次的文明互鉴。</w:t>
      </w:r>
    </w:p>
    <w:p w14:paraId="6E35E245">
      <w:pPr>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赛事核心环节具体如下，对应的具体赛事时间线见表1：</w:t>
      </w:r>
    </w:p>
    <w:p w14:paraId="24366F19">
      <w:pPr>
        <w:widowControl/>
        <w:numPr>
          <w:ilvl w:val="0"/>
          <w:numId w:val="4"/>
        </w:numPr>
        <w:spacing w:line="360" w:lineRule="auto"/>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破冰环节：</w:t>
      </w:r>
      <w:r>
        <w:rPr>
          <w:rFonts w:hint="eastAsia" w:ascii="仿宋" w:hAnsi="仿宋" w:eastAsia="仿宋" w:cs="仿宋"/>
          <w:color w:val="000000"/>
          <w:kern w:val="0"/>
          <w:szCs w:val="21"/>
        </w:rPr>
        <w:t>开展工具箱介绍、赛制介绍、跨国组队、项目宣讲等内容，旨在帮助学生快速熟悉赛制和赛事资源。参赛团队可以通过已有项目的宣讲招募队友，促进国内外学生之间的互动与合作。</w:t>
      </w:r>
    </w:p>
    <w:p w14:paraId="5750D9A3">
      <w:pPr>
        <w:widowControl/>
        <w:numPr>
          <w:ilvl w:val="0"/>
          <w:numId w:val="4"/>
        </w:numPr>
        <w:spacing w:line="360" w:lineRule="auto"/>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实地调研：</w:t>
      </w:r>
      <w:r>
        <w:rPr>
          <w:rFonts w:hint="eastAsia" w:ascii="仿宋" w:hAnsi="仿宋" w:eastAsia="仿宋" w:cs="仿宋"/>
          <w:color w:val="000000"/>
          <w:kern w:val="0"/>
          <w:szCs w:val="21"/>
        </w:rPr>
        <w:t>组织参赛学生实地参访减贫基地和企业，结合实际案例加深对</w:t>
      </w:r>
      <w:r>
        <w:rPr>
          <w:rFonts w:hint="eastAsia" w:ascii="仿宋" w:hAnsi="仿宋" w:eastAsia="仿宋" w:cs="仿宋"/>
          <w:color w:val="000000"/>
          <w:kern w:val="0"/>
          <w:szCs w:val="21"/>
          <w:lang w:val="en-US" w:eastAsia="zh-CN"/>
        </w:rPr>
        <w:t>中拉</w:t>
      </w:r>
      <w:r>
        <w:rPr>
          <w:rFonts w:hint="eastAsia" w:ascii="仿宋" w:hAnsi="仿宋" w:eastAsia="仿宋" w:cs="仿宋"/>
          <w:color w:val="000000"/>
          <w:kern w:val="0"/>
          <w:szCs w:val="21"/>
        </w:rPr>
        <w:t>减贫实例的理解与认识。</w:t>
      </w:r>
    </w:p>
    <w:p w14:paraId="53BA2DF6">
      <w:pPr>
        <w:widowControl/>
        <w:numPr>
          <w:ilvl w:val="0"/>
          <w:numId w:val="4"/>
        </w:numPr>
        <w:spacing w:line="360" w:lineRule="auto"/>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论坛对话：</w:t>
      </w:r>
      <w:r>
        <w:rPr>
          <w:rFonts w:hint="eastAsia" w:ascii="仿宋" w:hAnsi="仿宋" w:eastAsia="仿宋" w:cs="仿宋"/>
          <w:color w:val="000000"/>
          <w:kern w:val="0"/>
          <w:szCs w:val="21"/>
        </w:rPr>
        <w:t>设置“专家讲座”“专家论坛”等多样化交流形式，邀请中拉两地的学者、企业家和政策专家共同探讨全球减贫领域的热点议题，为学生提供前沿理论储备。</w:t>
      </w:r>
    </w:p>
    <w:p w14:paraId="288217DA">
      <w:pPr>
        <w:widowControl/>
        <w:numPr>
          <w:ilvl w:val="0"/>
          <w:numId w:val="4"/>
        </w:numPr>
        <w:spacing w:line="360" w:lineRule="auto"/>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导师辅导：</w:t>
      </w:r>
      <w:r>
        <w:rPr>
          <w:rFonts w:hint="eastAsia" w:ascii="仿宋" w:hAnsi="仿宋" w:eastAsia="仿宋" w:cs="仿宋"/>
          <w:color w:val="000000"/>
          <w:kern w:val="0"/>
          <w:szCs w:val="21"/>
        </w:rPr>
        <w:t>赛事全程配备两类专业导师团队。</w:t>
      </w:r>
    </w:p>
    <w:p w14:paraId="21D9C5BD">
      <w:pPr>
        <w:widowControl/>
        <w:tabs>
          <w:tab w:val="left" w:pos="420"/>
        </w:tabs>
        <w:spacing w:line="360" w:lineRule="auto"/>
        <w:ind w:left="1155" w:leftChars="550"/>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学术导师：</w:t>
      </w:r>
      <w:r>
        <w:rPr>
          <w:rFonts w:hint="eastAsia" w:ascii="仿宋" w:hAnsi="仿宋" w:eastAsia="仿宋" w:cs="仿宋"/>
          <w:color w:val="000000"/>
          <w:kern w:val="0"/>
          <w:szCs w:val="21"/>
        </w:rPr>
        <w:t>清华大学博士生团队组建学术导师队伍，通过理论工具讲解与实践操作指导，帮助参赛团队掌握赛事所需的分析工具与方法。</w:t>
      </w:r>
    </w:p>
    <w:p w14:paraId="3A839856">
      <w:pPr>
        <w:widowControl/>
        <w:tabs>
          <w:tab w:val="left" w:pos="420"/>
        </w:tabs>
        <w:spacing w:line="360" w:lineRule="auto"/>
        <w:ind w:left="1155" w:leftChars="550"/>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专业导师：</w:t>
      </w:r>
      <w:r>
        <w:rPr>
          <w:rFonts w:hint="eastAsia" w:ascii="仿宋" w:hAnsi="仿宋" w:eastAsia="仿宋" w:cs="仿宋"/>
          <w:color w:val="000000"/>
          <w:kern w:val="0"/>
          <w:szCs w:val="21"/>
        </w:rPr>
        <w:t>邀请减贫与可持续发展领域的政产研界专家，为参赛团队提供项目优化创新、孵化落地指导。</w:t>
      </w:r>
    </w:p>
    <w:p w14:paraId="6577E951">
      <w:pPr>
        <w:widowControl/>
        <w:numPr>
          <w:ilvl w:val="0"/>
          <w:numId w:val="4"/>
        </w:numPr>
        <w:spacing w:line="360" w:lineRule="auto"/>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方案设计与展示：</w:t>
      </w:r>
      <w:r>
        <w:rPr>
          <w:rFonts w:hint="eastAsia" w:ascii="仿宋" w:hAnsi="仿宋" w:eastAsia="仿宋" w:cs="仿宋"/>
          <w:color w:val="000000"/>
          <w:kern w:val="0"/>
          <w:szCs w:val="21"/>
        </w:rPr>
        <w:t>赛队根据调研成果完成减贫方案，开展集中汇报与评比。</w:t>
      </w:r>
    </w:p>
    <w:p w14:paraId="443EAC9B">
      <w:pPr>
        <w:widowControl/>
        <w:numPr>
          <w:ilvl w:val="0"/>
          <w:numId w:val="4"/>
        </w:numPr>
        <w:spacing w:line="360" w:lineRule="auto"/>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项目落地：</w:t>
      </w:r>
      <w:r>
        <w:rPr>
          <w:rFonts w:hint="eastAsia" w:ascii="仿宋" w:hAnsi="仿宋" w:eastAsia="仿宋" w:cs="仿宋"/>
          <w:color w:val="000000"/>
          <w:kern w:val="0"/>
          <w:szCs w:val="21"/>
        </w:rPr>
        <w:t>通过专家指导和跨国合作推动项目孵化落地。</w:t>
      </w:r>
    </w:p>
    <w:p w14:paraId="33708A87">
      <w:pPr>
        <w:tabs>
          <w:tab w:val="left" w:pos="3780"/>
        </w:tabs>
        <w:spacing w:line="560" w:lineRule="exact"/>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表1：2025“减贫营”赛事时间线</w:t>
      </w:r>
    </w:p>
    <w:tbl>
      <w:tblPr>
        <w:tblStyle w:val="26"/>
        <w:tblW w:w="9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78"/>
        <w:gridCol w:w="7963"/>
      </w:tblGrid>
      <w:tr w14:paraId="67F4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 w:hRule="atLeast"/>
          <w:tblHeader/>
          <w:jc w:val="center"/>
        </w:trPr>
        <w:tc>
          <w:tcPr>
            <w:tcW w:w="1478" w:type="dxa"/>
            <w:shd w:val="clear" w:color="auto" w:fill="70A0DB" w:themeFill="text2" w:themeFillTint="80"/>
            <w:vAlign w:val="center"/>
          </w:tcPr>
          <w:p w14:paraId="7F7F3D2C">
            <w:pPr>
              <w:tabs>
                <w:tab w:val="left" w:pos="3780"/>
              </w:tabs>
              <w:spacing w:line="0" w:lineRule="atLeast"/>
              <w:jc w:val="center"/>
              <w:rPr>
                <w:rFonts w:hint="eastAsia" w:ascii="宋体" w:hAnsi="宋体" w:eastAsia="宋体" w:cs="Times New Roman"/>
                <w:b/>
                <w:bCs/>
                <w:sz w:val="18"/>
                <w:szCs w:val="18"/>
              </w:rPr>
            </w:pPr>
            <w:r>
              <w:rPr>
                <w:rFonts w:hint="eastAsia" w:ascii="宋体" w:hAnsi="宋体" w:eastAsia="宋体" w:cs="Times New Roman"/>
                <w:b/>
                <w:bCs/>
                <w:sz w:val="18"/>
                <w:szCs w:val="18"/>
              </w:rPr>
              <w:t>时间</w:t>
            </w:r>
          </w:p>
        </w:tc>
        <w:tc>
          <w:tcPr>
            <w:tcW w:w="7963" w:type="dxa"/>
            <w:shd w:val="clear" w:color="auto" w:fill="70A0DB" w:themeFill="text2" w:themeFillTint="80"/>
            <w:vAlign w:val="center"/>
          </w:tcPr>
          <w:p w14:paraId="4F5AC2E9">
            <w:pPr>
              <w:tabs>
                <w:tab w:val="left" w:pos="3780"/>
              </w:tabs>
              <w:spacing w:line="0" w:lineRule="atLeast"/>
              <w:jc w:val="center"/>
              <w:rPr>
                <w:rFonts w:hint="eastAsia" w:ascii="宋体" w:hAnsi="宋体" w:eastAsia="宋体" w:cs="Times New Roman"/>
                <w:b/>
                <w:bCs/>
                <w:sz w:val="18"/>
                <w:szCs w:val="18"/>
              </w:rPr>
            </w:pPr>
            <w:r>
              <w:rPr>
                <w:rFonts w:hint="eastAsia" w:ascii="宋体" w:hAnsi="宋体" w:eastAsia="宋体" w:cs="Times New Roman"/>
                <w:b/>
                <w:bCs/>
                <w:sz w:val="18"/>
                <w:szCs w:val="18"/>
              </w:rPr>
              <w:t>活动</w:t>
            </w:r>
          </w:p>
        </w:tc>
      </w:tr>
      <w:tr w14:paraId="6CD8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9441" w:type="dxa"/>
            <w:gridSpan w:val="2"/>
            <w:shd w:val="clear" w:color="auto" w:fill="B7CFED" w:themeFill="text2" w:themeFillTint="40"/>
            <w:vAlign w:val="center"/>
          </w:tcPr>
          <w:p w14:paraId="1FDFEECA">
            <w:pPr>
              <w:tabs>
                <w:tab w:val="left" w:pos="3780"/>
              </w:tabs>
              <w:spacing w:line="0" w:lineRule="atLeast"/>
              <w:jc w:val="center"/>
              <w:rPr>
                <w:rFonts w:hint="eastAsia" w:ascii="宋体" w:hAnsi="宋体" w:eastAsia="宋体" w:cs="Times New Roman"/>
                <w:b/>
                <w:bCs/>
                <w:sz w:val="18"/>
                <w:szCs w:val="18"/>
              </w:rPr>
            </w:pPr>
            <w:r>
              <w:rPr>
                <w:rFonts w:hint="eastAsia" w:ascii="宋体" w:hAnsi="宋体" w:eastAsia="宋体" w:cs="Times New Roman"/>
                <w:b/>
                <w:bCs/>
                <w:sz w:val="18"/>
                <w:szCs w:val="18"/>
              </w:rPr>
              <w:t>筹备阶段</w:t>
            </w:r>
          </w:p>
        </w:tc>
      </w:tr>
      <w:tr w14:paraId="6011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Align w:val="center"/>
          </w:tcPr>
          <w:p w14:paraId="4A3250C7">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4月11日之前</w:t>
            </w:r>
          </w:p>
        </w:tc>
        <w:tc>
          <w:tcPr>
            <w:tcW w:w="7963" w:type="dxa"/>
          </w:tcPr>
          <w:p w14:paraId="0751C008">
            <w:pPr>
              <w:tabs>
                <w:tab w:val="left" w:pos="3780"/>
              </w:tabs>
              <w:spacing w:line="0" w:lineRule="atLeast"/>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 xml:space="preserve">- </w:t>
            </w:r>
            <w:r>
              <w:rPr>
                <w:rFonts w:ascii="宋体" w:hAnsi="宋体" w:eastAsia="宋体" w:cs="Times New Roman"/>
                <w:b/>
                <w:bCs/>
                <w:color w:val="000000"/>
                <w:sz w:val="18"/>
                <w:szCs w:val="18"/>
              </w:rPr>
              <w:t>赛制确认</w:t>
            </w:r>
          </w:p>
          <w:p w14:paraId="6640AF4C">
            <w:pPr>
              <w:tabs>
                <w:tab w:val="left" w:pos="3780"/>
              </w:tabs>
              <w:spacing w:line="0" w:lineRule="atLeast"/>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 xml:space="preserve">- </w:t>
            </w:r>
            <w:r>
              <w:rPr>
                <w:rFonts w:ascii="宋体" w:hAnsi="宋体" w:eastAsia="宋体" w:cs="Times New Roman"/>
                <w:b/>
                <w:bCs/>
                <w:color w:val="000000"/>
                <w:sz w:val="18"/>
                <w:szCs w:val="18"/>
              </w:rPr>
              <w:t>伙伴邀请</w:t>
            </w:r>
          </w:p>
          <w:p w14:paraId="5A91DFE2">
            <w:pPr>
              <w:tabs>
                <w:tab w:val="left" w:pos="3780"/>
              </w:tabs>
              <w:spacing w:line="0" w:lineRule="atLeast"/>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 xml:space="preserve">- </w:t>
            </w:r>
            <w:r>
              <w:rPr>
                <w:rFonts w:ascii="宋体" w:hAnsi="宋体" w:eastAsia="宋体" w:cs="Times New Roman"/>
                <w:b/>
                <w:bCs/>
                <w:color w:val="000000"/>
                <w:sz w:val="18"/>
                <w:szCs w:val="18"/>
              </w:rPr>
              <w:t>宣传推广</w:t>
            </w:r>
          </w:p>
          <w:p w14:paraId="2946C2CF">
            <w:pPr>
              <w:tabs>
                <w:tab w:val="left" w:pos="3780"/>
              </w:tabs>
              <w:spacing w:line="0" w:lineRule="atLeast"/>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 xml:space="preserve">- </w:t>
            </w:r>
            <w:r>
              <w:rPr>
                <w:rFonts w:ascii="宋体" w:hAnsi="宋体" w:eastAsia="宋体" w:cs="Times New Roman"/>
                <w:b/>
                <w:bCs/>
                <w:color w:val="000000"/>
                <w:sz w:val="18"/>
                <w:szCs w:val="18"/>
              </w:rPr>
              <w:t>选题征集</w:t>
            </w:r>
          </w:p>
          <w:p w14:paraId="1AAC53A5">
            <w:pPr>
              <w:widowControl/>
              <w:numPr>
                <w:ilvl w:val="0"/>
                <w:numId w:val="5"/>
              </w:numPr>
              <w:tabs>
                <w:tab w:val="left" w:pos="3780"/>
              </w:tabs>
              <w:spacing w:line="0" w:lineRule="atLeast"/>
              <w:ind w:left="420"/>
              <w:jc w:val="left"/>
              <w:rPr>
                <w:rFonts w:hint="eastAsia" w:ascii="宋体" w:hAnsi="宋体" w:eastAsia="宋体" w:cs="Times New Roman"/>
                <w:color w:val="000000"/>
                <w:sz w:val="18"/>
                <w:szCs w:val="18"/>
              </w:rPr>
            </w:pPr>
            <w:r>
              <w:rPr>
                <w:rFonts w:ascii="宋体" w:hAnsi="宋体" w:eastAsia="宋体" w:cs="Times New Roman"/>
                <w:color w:val="000000"/>
                <w:sz w:val="18"/>
                <w:szCs w:val="18"/>
              </w:rPr>
              <w:t>面向有意愿的政府部门、企业及NGO等组织，征集减贫领域的现实性话题，以“命题作文”的方式为参赛队伍提供选题支持。</w:t>
            </w:r>
          </w:p>
        </w:tc>
      </w:tr>
      <w:tr w14:paraId="6EE2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8" w:hRule="atLeast"/>
          <w:jc w:val="center"/>
        </w:trPr>
        <w:tc>
          <w:tcPr>
            <w:tcW w:w="9441" w:type="dxa"/>
            <w:gridSpan w:val="2"/>
            <w:shd w:val="clear" w:color="auto" w:fill="B7CFED" w:themeFill="text2" w:themeFillTint="40"/>
            <w:vAlign w:val="center"/>
          </w:tcPr>
          <w:p w14:paraId="218B0F9A">
            <w:pPr>
              <w:tabs>
                <w:tab w:val="left" w:pos="3780"/>
              </w:tabs>
              <w:spacing w:line="0" w:lineRule="atLeast"/>
              <w:jc w:val="center"/>
              <w:rPr>
                <w:rFonts w:hint="eastAsia" w:ascii="宋体" w:hAnsi="宋体" w:eastAsia="宋体" w:cs="Times New Roman"/>
                <w:b/>
                <w:bCs/>
                <w:sz w:val="18"/>
                <w:szCs w:val="18"/>
              </w:rPr>
            </w:pPr>
            <w:r>
              <w:rPr>
                <w:rFonts w:hint="eastAsia" w:ascii="宋体" w:hAnsi="宋体" w:eastAsia="宋体" w:cs="Times New Roman"/>
                <w:b/>
                <w:bCs/>
                <w:sz w:val="18"/>
                <w:szCs w:val="18"/>
              </w:rPr>
              <w:t>初赛阶段</w:t>
            </w:r>
          </w:p>
        </w:tc>
      </w:tr>
      <w:tr w14:paraId="617B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Align w:val="center"/>
          </w:tcPr>
          <w:p w14:paraId="77DF734B">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4月11日</w:t>
            </w:r>
          </w:p>
        </w:tc>
        <w:tc>
          <w:tcPr>
            <w:tcW w:w="7963" w:type="dxa"/>
            <w:tcBorders>
              <w:right w:val="single" w:color="auto" w:sz="4" w:space="0"/>
            </w:tcBorders>
          </w:tcPr>
          <w:p w14:paraId="5256EA13">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赛事启动宣讲会</w:t>
            </w:r>
          </w:p>
          <w:p w14:paraId="6B5EAF0B">
            <w:pPr>
              <w:numPr>
                <w:ilvl w:val="0"/>
                <w:numId w:val="6"/>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中拉参赛选手共同在线上参加宣讲会</w:t>
            </w:r>
            <w:r>
              <w:rPr>
                <w:rFonts w:hint="eastAsia" w:ascii="宋体" w:hAnsi="宋体" w:eastAsia="宋体" w:cs="Times New Roman"/>
                <w:sz w:val="18"/>
                <w:szCs w:val="18"/>
              </w:rPr>
              <w:t>，</w:t>
            </w:r>
            <w:r>
              <w:rPr>
                <w:rFonts w:ascii="宋体" w:hAnsi="宋体" w:eastAsia="宋体" w:cs="Times New Roman"/>
                <w:sz w:val="18"/>
                <w:szCs w:val="18"/>
              </w:rPr>
              <w:t>详细介绍赛事特点、规则和赛程安排</w:t>
            </w:r>
            <w:r>
              <w:rPr>
                <w:rFonts w:hint="eastAsia" w:ascii="宋体" w:hAnsi="宋体" w:eastAsia="宋体" w:cs="Times New Roman"/>
                <w:sz w:val="18"/>
                <w:szCs w:val="18"/>
              </w:rPr>
              <w:t>。</w:t>
            </w:r>
          </w:p>
          <w:p w14:paraId="2A6E3887">
            <w:pPr>
              <w:numPr>
                <w:ilvl w:val="0"/>
                <w:numId w:val="6"/>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启动中拉国家青年的跨国组队，协调中拉学生选题交流</w:t>
            </w:r>
            <w:r>
              <w:rPr>
                <w:rFonts w:hint="eastAsia" w:ascii="宋体" w:hAnsi="宋体" w:eastAsia="宋体" w:cs="Times New Roman"/>
                <w:sz w:val="18"/>
                <w:szCs w:val="18"/>
              </w:rPr>
              <w:t>。</w:t>
            </w:r>
          </w:p>
        </w:tc>
      </w:tr>
      <w:tr w14:paraId="6CBB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Align w:val="center"/>
          </w:tcPr>
          <w:p w14:paraId="523323A4">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4月24日</w:t>
            </w:r>
          </w:p>
        </w:tc>
        <w:tc>
          <w:tcPr>
            <w:tcW w:w="7963" w:type="dxa"/>
            <w:tcBorders>
              <w:right w:val="single" w:color="auto" w:sz="4" w:space="0"/>
            </w:tcBorders>
          </w:tcPr>
          <w:p w14:paraId="0EEB338E">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中智专家减贫讲座</w:t>
            </w:r>
          </w:p>
          <w:p w14:paraId="7025946B">
            <w:pPr>
              <w:numPr>
                <w:ilvl w:val="0"/>
                <w:numId w:val="6"/>
              </w:numPr>
              <w:tabs>
                <w:tab w:val="left" w:pos="3780"/>
              </w:tabs>
              <w:spacing w:line="0" w:lineRule="atLeast"/>
              <w:ind w:left="420" w:leftChars="200"/>
              <w:contextualSpacing/>
              <w:rPr>
                <w:rFonts w:hint="eastAsia" w:ascii="宋体" w:hAnsi="宋体" w:eastAsia="宋体" w:cs="Times New Roman"/>
                <w:b/>
                <w:bCs/>
                <w:sz w:val="18"/>
                <w:szCs w:val="18"/>
              </w:rPr>
            </w:pPr>
            <w:r>
              <w:rPr>
                <w:rFonts w:hint="eastAsia" w:ascii="宋体" w:hAnsi="宋体" w:eastAsia="宋体" w:cs="Times New Roman"/>
                <w:sz w:val="18"/>
                <w:szCs w:val="18"/>
              </w:rPr>
              <w:t>邀请中智减贫领域专家举办主题讲座，为项目提供国际视角与专业建议。</w:t>
            </w:r>
          </w:p>
        </w:tc>
      </w:tr>
      <w:tr w14:paraId="6DEC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Align w:val="center"/>
          </w:tcPr>
          <w:p w14:paraId="77A0D2B8">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5月8日</w:t>
            </w:r>
          </w:p>
        </w:tc>
        <w:tc>
          <w:tcPr>
            <w:tcW w:w="7963" w:type="dxa"/>
            <w:tcBorders>
              <w:right w:val="single" w:color="auto" w:sz="4" w:space="0"/>
            </w:tcBorders>
          </w:tcPr>
          <w:p w14:paraId="6FC0E789">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中巴专家减贫讲座</w:t>
            </w:r>
          </w:p>
          <w:p w14:paraId="567F5500">
            <w:pPr>
              <w:numPr>
                <w:ilvl w:val="0"/>
                <w:numId w:val="6"/>
              </w:numPr>
              <w:tabs>
                <w:tab w:val="left" w:pos="3780"/>
              </w:tabs>
              <w:spacing w:line="0" w:lineRule="atLeast"/>
              <w:ind w:left="420" w:leftChars="200"/>
              <w:contextualSpacing/>
              <w:rPr>
                <w:rFonts w:hint="eastAsia" w:ascii="宋体" w:hAnsi="宋体" w:eastAsia="宋体" w:cs="Times New Roman"/>
                <w:b/>
                <w:bCs/>
                <w:sz w:val="18"/>
                <w:szCs w:val="18"/>
              </w:rPr>
            </w:pPr>
            <w:r>
              <w:rPr>
                <w:rFonts w:hint="eastAsia" w:ascii="宋体" w:hAnsi="宋体" w:eastAsia="宋体" w:cs="Times New Roman"/>
                <w:sz w:val="18"/>
                <w:szCs w:val="18"/>
              </w:rPr>
              <w:t>邀请中巴减贫领域专家举办主题讲座，为项目提供国际视角与专业建议。</w:t>
            </w:r>
          </w:p>
        </w:tc>
      </w:tr>
      <w:tr w14:paraId="2B6B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Align w:val="center"/>
          </w:tcPr>
          <w:p w14:paraId="2E8C12FC">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5月15日</w:t>
            </w:r>
          </w:p>
        </w:tc>
        <w:tc>
          <w:tcPr>
            <w:tcW w:w="7963" w:type="dxa"/>
            <w:tcBorders>
              <w:right w:val="single" w:color="auto" w:sz="4" w:space="0"/>
            </w:tcBorders>
          </w:tcPr>
          <w:p w14:paraId="4EC11B66">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跨国组队结束，完成赛题确认</w:t>
            </w:r>
          </w:p>
          <w:p w14:paraId="6144E754">
            <w:pPr>
              <w:numPr>
                <w:ilvl w:val="0"/>
                <w:numId w:val="6"/>
              </w:numPr>
              <w:tabs>
                <w:tab w:val="left" w:pos="3780"/>
              </w:tabs>
              <w:spacing w:line="0" w:lineRule="atLeast"/>
              <w:ind w:left="420" w:leftChars="200"/>
              <w:contextualSpacing/>
              <w:rPr>
                <w:rFonts w:hint="eastAsia" w:ascii="宋体" w:hAnsi="宋体" w:eastAsia="宋体" w:cs="Times New Roman"/>
                <w:sz w:val="18"/>
                <w:szCs w:val="18"/>
              </w:rPr>
            </w:pPr>
            <w:r>
              <w:rPr>
                <w:rFonts w:hint="eastAsia" w:ascii="宋体" w:hAnsi="宋体" w:eastAsia="宋体" w:cs="Times New Roman"/>
                <w:sz w:val="18"/>
                <w:szCs w:val="18"/>
              </w:rPr>
              <w:t>赛队可以根据赛事组委会于筹备阶段征集的“命题作文”直接确定题目，也可以通过自主选题的方式确定最终参赛选题。</w:t>
            </w:r>
          </w:p>
        </w:tc>
      </w:tr>
      <w:tr w14:paraId="2EF2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Align w:val="center"/>
          </w:tcPr>
          <w:p w14:paraId="519F3817">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5月16日~</w:t>
            </w:r>
          </w:p>
          <w:p w14:paraId="6437B07B">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5月30日</w:t>
            </w:r>
          </w:p>
        </w:tc>
        <w:tc>
          <w:tcPr>
            <w:tcW w:w="7963" w:type="dxa"/>
          </w:tcPr>
          <w:p w14:paraId="477A4EA0">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导师辅导</w:t>
            </w:r>
          </w:p>
          <w:p w14:paraId="3A273833">
            <w:pPr>
              <w:numPr>
                <w:ilvl w:val="0"/>
                <w:numId w:val="7"/>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每个赛队将接受累计不少于4小时的辅导，可以合理安排时间与不同导师探讨交流</w:t>
            </w:r>
            <w:r>
              <w:rPr>
                <w:rFonts w:hint="eastAsia" w:ascii="宋体" w:hAnsi="宋体" w:eastAsia="宋体" w:cs="Times New Roman"/>
                <w:sz w:val="18"/>
                <w:szCs w:val="18"/>
              </w:rPr>
              <w:t>。</w:t>
            </w:r>
          </w:p>
          <w:p w14:paraId="0DA3E1D5">
            <w:pPr>
              <w:numPr>
                <w:ilvl w:val="0"/>
                <w:numId w:val="7"/>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辅导内容包括学术导师开展的“清华减贫工具箱”辅导、专业导师开展的项目指导</w:t>
            </w:r>
            <w:r>
              <w:rPr>
                <w:rFonts w:hint="eastAsia" w:ascii="宋体" w:hAnsi="宋体" w:eastAsia="宋体" w:cs="Times New Roman"/>
                <w:sz w:val="18"/>
                <w:szCs w:val="18"/>
              </w:rPr>
              <w:t>。</w:t>
            </w:r>
          </w:p>
          <w:p w14:paraId="631B7208">
            <w:pPr>
              <w:numPr>
                <w:ilvl w:val="0"/>
                <w:numId w:val="7"/>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辅导形式灵活，以线上问题清单征集与导师回复相结合、线上交流、线下交流等方式开展。</w:t>
            </w:r>
          </w:p>
        </w:tc>
      </w:tr>
      <w:tr w14:paraId="2678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Align w:val="center"/>
          </w:tcPr>
          <w:p w14:paraId="29EFCA76">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6月5日</w:t>
            </w:r>
          </w:p>
        </w:tc>
        <w:tc>
          <w:tcPr>
            <w:tcW w:w="7963" w:type="dxa"/>
          </w:tcPr>
          <w:p w14:paraId="6F36DAE5">
            <w:pPr>
              <w:tabs>
                <w:tab w:val="left" w:pos="3780"/>
              </w:tabs>
              <w:spacing w:line="0" w:lineRule="atLeast"/>
              <w:rPr>
                <w:rFonts w:hint="eastAsia" w:ascii="宋体" w:hAnsi="宋体" w:eastAsia="宋体" w:cs="Times New Roman"/>
                <w:sz w:val="18"/>
                <w:szCs w:val="18"/>
              </w:rPr>
            </w:pPr>
            <w:r>
              <w:rPr>
                <w:rFonts w:hint="eastAsia" w:ascii="宋体" w:hAnsi="宋体" w:eastAsia="宋体" w:cs="Times New Roman"/>
                <w:b/>
                <w:bCs/>
                <w:sz w:val="18"/>
                <w:szCs w:val="18"/>
              </w:rPr>
              <w:t>- 提交初赛PPT和视频等资料</w:t>
            </w:r>
          </w:p>
        </w:tc>
      </w:tr>
      <w:tr w14:paraId="43FF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Align w:val="center"/>
          </w:tcPr>
          <w:p w14:paraId="753C2F21">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6月7日</w:t>
            </w:r>
          </w:p>
        </w:tc>
        <w:tc>
          <w:tcPr>
            <w:tcW w:w="7963" w:type="dxa"/>
          </w:tcPr>
          <w:p w14:paraId="20E8FE39">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展示评比</w:t>
            </w:r>
          </w:p>
          <w:p w14:paraId="256DA6A7">
            <w:pPr>
              <w:numPr>
                <w:ilvl w:val="0"/>
                <w:numId w:val="8"/>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参赛团队以PPT和文本报告的形式现场展示项目成果</w:t>
            </w:r>
            <w:r>
              <w:rPr>
                <w:rFonts w:hint="eastAsia" w:ascii="宋体" w:hAnsi="宋体" w:eastAsia="宋体" w:cs="Times New Roman"/>
                <w:sz w:val="18"/>
                <w:szCs w:val="18"/>
              </w:rPr>
              <w:t>。</w:t>
            </w:r>
          </w:p>
          <w:p w14:paraId="7A9F1541">
            <w:pPr>
              <w:numPr>
                <w:ilvl w:val="0"/>
                <w:numId w:val="8"/>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由中拉评委共同开展评审，选拔获胜队伍。</w:t>
            </w:r>
          </w:p>
        </w:tc>
      </w:tr>
      <w:tr w14:paraId="3D02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Align w:val="center"/>
          </w:tcPr>
          <w:p w14:paraId="3472A5DE">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6月15日</w:t>
            </w:r>
          </w:p>
        </w:tc>
        <w:tc>
          <w:tcPr>
            <w:tcW w:w="7963" w:type="dxa"/>
          </w:tcPr>
          <w:p w14:paraId="2D51FFAE">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初赛最终结果揭晓</w:t>
            </w:r>
          </w:p>
          <w:p w14:paraId="3DCA7B5F">
            <w:pPr>
              <w:numPr>
                <w:ilvl w:val="0"/>
                <w:numId w:val="7"/>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获胜队</w:t>
            </w:r>
            <w:r>
              <w:rPr>
                <w:rFonts w:hint="eastAsia" w:ascii="宋体" w:hAnsi="宋体" w:eastAsia="宋体" w:cs="Times New Roman"/>
                <w:sz w:val="18"/>
                <w:szCs w:val="18"/>
              </w:rPr>
              <w:t>中的中国学生获得8月前往拉美研学并参加跨国决赛的资格。</w:t>
            </w:r>
          </w:p>
          <w:p w14:paraId="1BEBB817">
            <w:pPr>
              <w:numPr>
                <w:ilvl w:val="0"/>
                <w:numId w:val="7"/>
              </w:numPr>
              <w:tabs>
                <w:tab w:val="left" w:pos="3780"/>
              </w:tabs>
              <w:spacing w:line="0" w:lineRule="atLeast"/>
              <w:ind w:left="420" w:leftChars="200"/>
              <w:contextualSpacing/>
              <w:rPr>
                <w:rFonts w:hint="eastAsia" w:ascii="宋体" w:hAnsi="宋体" w:eastAsia="宋体" w:cs="Times New Roman"/>
                <w:sz w:val="18"/>
                <w:szCs w:val="18"/>
              </w:rPr>
            </w:pPr>
            <w:r>
              <w:rPr>
                <w:rFonts w:hint="eastAsia" w:ascii="宋体" w:hAnsi="宋体" w:eastAsia="宋体" w:cs="Times New Roman"/>
                <w:sz w:val="18"/>
                <w:szCs w:val="18"/>
              </w:rPr>
              <w:t>获胜队中的拉美学生获得2026年1月前往中国参加减贫研学的资格。</w:t>
            </w:r>
          </w:p>
        </w:tc>
      </w:tr>
      <w:tr w14:paraId="2D60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3" w:hRule="atLeast"/>
          <w:jc w:val="center"/>
        </w:trPr>
        <w:tc>
          <w:tcPr>
            <w:tcW w:w="9441" w:type="dxa"/>
            <w:gridSpan w:val="2"/>
            <w:shd w:val="clear" w:color="auto" w:fill="B7CFED" w:themeFill="text2" w:themeFillTint="40"/>
            <w:vAlign w:val="center"/>
          </w:tcPr>
          <w:p w14:paraId="141CBBE5">
            <w:pPr>
              <w:tabs>
                <w:tab w:val="left" w:pos="3780"/>
              </w:tabs>
              <w:spacing w:line="0" w:lineRule="atLeast"/>
              <w:jc w:val="center"/>
              <w:rPr>
                <w:rFonts w:hint="eastAsia" w:ascii="宋体" w:hAnsi="宋体" w:eastAsia="宋体" w:cs="Times New Roman"/>
                <w:b/>
                <w:bCs/>
                <w:sz w:val="18"/>
                <w:szCs w:val="18"/>
              </w:rPr>
            </w:pPr>
            <w:r>
              <w:rPr>
                <w:rFonts w:hint="eastAsia" w:ascii="宋体" w:hAnsi="宋体" w:eastAsia="宋体" w:cs="Times New Roman"/>
                <w:b/>
                <w:bCs/>
                <w:sz w:val="18"/>
                <w:szCs w:val="18"/>
              </w:rPr>
              <w:t>决赛阶段</w:t>
            </w:r>
          </w:p>
        </w:tc>
      </w:tr>
      <w:tr w14:paraId="1C9B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Merge w:val="restart"/>
            <w:vAlign w:val="center"/>
          </w:tcPr>
          <w:p w14:paraId="7B42BADC">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rPr>
              <w:t>8月中下旬（巴西、智利赛区各为期3天）</w:t>
            </w:r>
          </w:p>
        </w:tc>
        <w:tc>
          <w:tcPr>
            <w:tcW w:w="7963" w:type="dxa"/>
            <w:vAlign w:val="center"/>
          </w:tcPr>
          <w:p w14:paraId="4A077EE2">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中国胜出学生赴拉参与决赛</w:t>
            </w:r>
          </w:p>
        </w:tc>
      </w:tr>
      <w:tr w14:paraId="0C3B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Merge w:val="continue"/>
            <w:vAlign w:val="center"/>
          </w:tcPr>
          <w:p w14:paraId="175A7446">
            <w:pPr>
              <w:tabs>
                <w:tab w:val="left" w:pos="3780"/>
              </w:tabs>
              <w:spacing w:line="0" w:lineRule="atLeast"/>
              <w:jc w:val="center"/>
              <w:rPr>
                <w:rFonts w:hint="eastAsia" w:ascii="宋体" w:hAnsi="宋体" w:eastAsia="宋体" w:cs="Times New Roman"/>
                <w:sz w:val="18"/>
                <w:szCs w:val="18"/>
              </w:rPr>
            </w:pPr>
          </w:p>
        </w:tc>
        <w:tc>
          <w:tcPr>
            <w:tcW w:w="7963" w:type="dxa"/>
          </w:tcPr>
          <w:p w14:paraId="042B59B4">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破冰活动</w:t>
            </w:r>
          </w:p>
          <w:p w14:paraId="0E1D11AE">
            <w:pPr>
              <w:numPr>
                <w:ilvl w:val="0"/>
                <w:numId w:val="9"/>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中拉选手以线上与线下互相介绍成员、项目内容，促进团队合作与跨文化沟通。</w:t>
            </w:r>
          </w:p>
        </w:tc>
      </w:tr>
      <w:tr w14:paraId="5EE6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Merge w:val="continue"/>
            <w:vAlign w:val="center"/>
          </w:tcPr>
          <w:p w14:paraId="73A7311B">
            <w:pPr>
              <w:tabs>
                <w:tab w:val="left" w:pos="3780"/>
              </w:tabs>
              <w:spacing w:line="0" w:lineRule="atLeast"/>
              <w:jc w:val="center"/>
              <w:rPr>
                <w:rFonts w:hint="eastAsia" w:ascii="宋体" w:hAnsi="宋体" w:eastAsia="宋体" w:cs="Times New Roman"/>
                <w:sz w:val="18"/>
                <w:szCs w:val="18"/>
              </w:rPr>
            </w:pPr>
          </w:p>
        </w:tc>
        <w:tc>
          <w:tcPr>
            <w:tcW w:w="7963" w:type="dxa"/>
          </w:tcPr>
          <w:p w14:paraId="7013CFB8">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实地调研</w:t>
            </w:r>
          </w:p>
          <w:p w14:paraId="4314A9E0">
            <w:pPr>
              <w:numPr>
                <w:ilvl w:val="0"/>
                <w:numId w:val="10"/>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参赛团队访问当地</w:t>
            </w:r>
            <w:r>
              <w:rPr>
                <w:rFonts w:hint="eastAsia" w:ascii="宋体" w:hAnsi="宋体" w:eastAsia="宋体" w:cs="Times New Roman"/>
                <w:sz w:val="18"/>
                <w:szCs w:val="18"/>
              </w:rPr>
              <w:t>企业、政府等</w:t>
            </w:r>
            <w:r>
              <w:rPr>
                <w:rFonts w:ascii="宋体" w:hAnsi="宋体" w:eastAsia="宋体" w:cs="Times New Roman"/>
                <w:sz w:val="18"/>
                <w:szCs w:val="18"/>
              </w:rPr>
              <w:t>的减贫实践，实现文化浸润。</w:t>
            </w:r>
          </w:p>
          <w:p w14:paraId="0AC5BCBC">
            <w:pPr>
              <w:numPr>
                <w:ilvl w:val="0"/>
                <w:numId w:val="10"/>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以访谈调研的方式开展案例研究。</w:t>
            </w:r>
          </w:p>
        </w:tc>
      </w:tr>
      <w:tr w14:paraId="71D3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Merge w:val="continue"/>
            <w:vAlign w:val="center"/>
          </w:tcPr>
          <w:p w14:paraId="4263177C">
            <w:pPr>
              <w:tabs>
                <w:tab w:val="left" w:pos="3780"/>
              </w:tabs>
              <w:spacing w:line="0" w:lineRule="atLeast"/>
              <w:jc w:val="center"/>
              <w:rPr>
                <w:rFonts w:hint="eastAsia" w:ascii="宋体" w:hAnsi="宋体" w:eastAsia="宋体" w:cs="Times New Roman"/>
                <w:sz w:val="18"/>
                <w:szCs w:val="18"/>
              </w:rPr>
            </w:pPr>
          </w:p>
        </w:tc>
        <w:tc>
          <w:tcPr>
            <w:tcW w:w="7963" w:type="dxa"/>
          </w:tcPr>
          <w:p w14:paraId="6E88CFF4">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减贫论坛</w:t>
            </w:r>
          </w:p>
          <w:p w14:paraId="119EB0AA">
            <w:pPr>
              <w:numPr>
                <w:ilvl w:val="0"/>
                <w:numId w:val="11"/>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邀请政产研专家开展主题演讲分享减贫经验。</w:t>
            </w:r>
          </w:p>
          <w:p w14:paraId="0FEC2854">
            <w:pPr>
              <w:numPr>
                <w:ilvl w:val="0"/>
                <w:numId w:val="11"/>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开展专家圆桌对话，促进跨文化、跨学科的理论与经验交流。</w:t>
            </w:r>
          </w:p>
        </w:tc>
      </w:tr>
      <w:tr w14:paraId="3D1A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Merge w:val="continue"/>
            <w:vAlign w:val="center"/>
          </w:tcPr>
          <w:p w14:paraId="644604CD">
            <w:pPr>
              <w:tabs>
                <w:tab w:val="left" w:pos="3780"/>
              </w:tabs>
              <w:spacing w:line="0" w:lineRule="atLeast"/>
              <w:jc w:val="center"/>
              <w:rPr>
                <w:rFonts w:hint="eastAsia" w:ascii="宋体" w:hAnsi="宋体" w:eastAsia="宋体" w:cs="Times New Roman"/>
                <w:sz w:val="18"/>
                <w:szCs w:val="18"/>
              </w:rPr>
            </w:pPr>
          </w:p>
        </w:tc>
        <w:tc>
          <w:tcPr>
            <w:tcW w:w="7963" w:type="dxa"/>
          </w:tcPr>
          <w:p w14:paraId="6D330BDB">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导师辅导</w:t>
            </w:r>
          </w:p>
          <w:p w14:paraId="5A5AB32A">
            <w:pPr>
              <w:numPr>
                <w:ilvl w:val="0"/>
                <w:numId w:val="11"/>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邀请</w:t>
            </w:r>
            <w:r>
              <w:rPr>
                <w:rFonts w:hint="eastAsia" w:ascii="宋体" w:hAnsi="宋体" w:eastAsia="宋体" w:cs="Times New Roman"/>
                <w:sz w:val="18"/>
                <w:szCs w:val="18"/>
              </w:rPr>
              <w:t>中拉学界与业界专家进行决赛前集中辅导，帮助学生完善减贫方案。</w:t>
            </w:r>
          </w:p>
          <w:p w14:paraId="64982D98">
            <w:pPr>
              <w:numPr>
                <w:ilvl w:val="0"/>
                <w:numId w:val="11"/>
              </w:numPr>
              <w:tabs>
                <w:tab w:val="left" w:pos="3780"/>
              </w:tabs>
              <w:spacing w:line="0" w:lineRule="atLeast"/>
              <w:ind w:left="420" w:leftChars="200"/>
              <w:contextualSpacing/>
              <w:rPr>
                <w:rFonts w:hint="eastAsia" w:ascii="宋体" w:hAnsi="宋体" w:eastAsia="宋体" w:cs="Times New Roman"/>
                <w:sz w:val="18"/>
                <w:szCs w:val="18"/>
              </w:rPr>
            </w:pPr>
            <w:r>
              <w:rPr>
                <w:rFonts w:hint="eastAsia" w:ascii="宋体" w:hAnsi="宋体" w:eastAsia="宋体" w:cs="Times New Roman"/>
                <w:sz w:val="18"/>
                <w:szCs w:val="18"/>
              </w:rPr>
              <w:t>从多维度展开研讨，着力提升参赛方案的合理性、可落地性与可持续性。</w:t>
            </w:r>
          </w:p>
        </w:tc>
      </w:tr>
      <w:tr w14:paraId="1522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Merge w:val="continue"/>
            <w:vAlign w:val="center"/>
          </w:tcPr>
          <w:p w14:paraId="2B04E751">
            <w:pPr>
              <w:tabs>
                <w:tab w:val="left" w:pos="3780"/>
              </w:tabs>
              <w:spacing w:line="0" w:lineRule="atLeast"/>
              <w:jc w:val="center"/>
              <w:rPr>
                <w:rFonts w:hint="eastAsia" w:ascii="宋体" w:hAnsi="宋体" w:eastAsia="宋体" w:cs="Times New Roman"/>
                <w:sz w:val="18"/>
                <w:szCs w:val="18"/>
              </w:rPr>
            </w:pPr>
          </w:p>
        </w:tc>
        <w:tc>
          <w:tcPr>
            <w:tcW w:w="7963" w:type="dxa"/>
          </w:tcPr>
          <w:p w14:paraId="762AE424">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展示评比</w:t>
            </w:r>
          </w:p>
          <w:p w14:paraId="667F317C">
            <w:pPr>
              <w:numPr>
                <w:ilvl w:val="0"/>
                <w:numId w:val="12"/>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参赛团队以PPT和文本报告的形式现场展示项目成果</w:t>
            </w:r>
            <w:r>
              <w:rPr>
                <w:rFonts w:hint="eastAsia" w:ascii="宋体" w:hAnsi="宋体" w:eastAsia="宋体" w:cs="Times New Roman"/>
                <w:sz w:val="18"/>
                <w:szCs w:val="18"/>
              </w:rPr>
              <w:t>。</w:t>
            </w:r>
          </w:p>
          <w:p w14:paraId="389A5E5B">
            <w:pPr>
              <w:numPr>
                <w:ilvl w:val="0"/>
                <w:numId w:val="12"/>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由中拉评委共同开展评审，</w:t>
            </w:r>
            <w:r>
              <w:rPr>
                <w:rFonts w:hint="eastAsia" w:ascii="宋体" w:hAnsi="宋体" w:eastAsia="宋体" w:cs="Times New Roman"/>
                <w:sz w:val="18"/>
                <w:szCs w:val="18"/>
              </w:rPr>
              <w:t>分别评选出金、银、铜奖</w:t>
            </w:r>
            <w:r>
              <w:rPr>
                <w:rFonts w:ascii="宋体" w:hAnsi="宋体" w:eastAsia="宋体" w:cs="Times New Roman"/>
                <w:sz w:val="18"/>
                <w:szCs w:val="18"/>
              </w:rPr>
              <w:t xml:space="preserve">队伍。 </w:t>
            </w:r>
          </w:p>
        </w:tc>
      </w:tr>
      <w:tr w14:paraId="5D32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4" w:hRule="atLeast"/>
          <w:jc w:val="center"/>
        </w:trPr>
        <w:tc>
          <w:tcPr>
            <w:tcW w:w="9441" w:type="dxa"/>
            <w:gridSpan w:val="2"/>
            <w:shd w:val="clear" w:color="auto" w:fill="B7CFED" w:themeFill="text2" w:themeFillTint="40"/>
            <w:vAlign w:val="center"/>
          </w:tcPr>
          <w:p w14:paraId="69076ECF">
            <w:pPr>
              <w:tabs>
                <w:tab w:val="left" w:pos="3780"/>
              </w:tabs>
              <w:spacing w:line="0" w:lineRule="atLeast"/>
              <w:jc w:val="center"/>
              <w:rPr>
                <w:rFonts w:hint="eastAsia" w:ascii="宋体" w:hAnsi="宋体" w:eastAsia="宋体" w:cs="Times New Roman"/>
                <w:b/>
                <w:bCs/>
                <w:sz w:val="18"/>
                <w:szCs w:val="18"/>
              </w:rPr>
            </w:pPr>
            <w:r>
              <w:rPr>
                <w:rFonts w:hint="eastAsia" w:ascii="宋体" w:hAnsi="宋体" w:eastAsia="宋体" w:cs="Times New Roman"/>
                <w:b/>
                <w:bCs/>
                <w:sz w:val="18"/>
                <w:szCs w:val="18"/>
              </w:rPr>
              <w:t>总结阶段</w:t>
            </w:r>
          </w:p>
        </w:tc>
      </w:tr>
      <w:tr w14:paraId="43BC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Merge w:val="restart"/>
            <w:vAlign w:val="center"/>
          </w:tcPr>
          <w:p w14:paraId="033A85C4">
            <w:pPr>
              <w:tabs>
                <w:tab w:val="left" w:pos="3780"/>
              </w:tabs>
              <w:spacing w:line="0" w:lineRule="atLeast"/>
              <w:jc w:val="center"/>
              <w:rPr>
                <w:rFonts w:hint="eastAsia" w:ascii="宋体" w:hAnsi="宋体" w:eastAsia="宋体" w:cs="Times New Roman"/>
                <w:sz w:val="18"/>
                <w:szCs w:val="18"/>
              </w:rPr>
            </w:pPr>
            <w:r>
              <w:rPr>
                <w:rFonts w:hint="eastAsia" w:ascii="宋体" w:hAnsi="宋体" w:eastAsia="宋体" w:cs="Times New Roman"/>
                <w:sz w:val="18"/>
                <w:szCs w:val="18"/>
                <w:shd w:val="clear"/>
                <w:lang w:val="en-US" w:eastAsia="zh-CN"/>
              </w:rPr>
              <w:t>次年</w:t>
            </w:r>
            <w:r>
              <w:rPr>
                <w:rFonts w:hint="eastAsia" w:ascii="宋体" w:hAnsi="宋体" w:eastAsia="宋体" w:cs="Times New Roman"/>
                <w:sz w:val="18"/>
                <w:szCs w:val="18"/>
                <w:shd w:val="clear"/>
              </w:rPr>
              <w:t>1月</w:t>
            </w:r>
          </w:p>
        </w:tc>
        <w:tc>
          <w:tcPr>
            <w:tcW w:w="7963" w:type="dxa"/>
            <w:vAlign w:val="center"/>
          </w:tcPr>
          <w:p w14:paraId="772A531E">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拉美胜出学生来华研学</w:t>
            </w:r>
          </w:p>
          <w:p w14:paraId="2DC39878">
            <w:pPr>
              <w:numPr>
                <w:ilvl w:val="0"/>
                <w:numId w:val="13"/>
              </w:numPr>
              <w:tabs>
                <w:tab w:val="left" w:pos="3780"/>
              </w:tabs>
              <w:spacing w:line="0" w:lineRule="atLeast"/>
              <w:ind w:left="420" w:leftChars="200"/>
              <w:contextualSpacing/>
              <w:rPr>
                <w:rFonts w:hint="eastAsia" w:ascii="宋体" w:hAnsi="宋体" w:eastAsia="宋体" w:cs="Times New Roman"/>
                <w:sz w:val="18"/>
                <w:szCs w:val="18"/>
              </w:rPr>
            </w:pPr>
            <w:r>
              <w:rPr>
                <w:rFonts w:hint="eastAsia" w:ascii="宋体" w:hAnsi="宋体" w:eastAsia="宋体" w:cs="Times New Roman"/>
                <w:sz w:val="18"/>
                <w:szCs w:val="18"/>
              </w:rPr>
              <w:t>邀请决赛获胜队伍成员来华进行项目交流，包括与中国师生的面对面交流、中国减贫基地与机构的参观和访问、中国文化游等。</w:t>
            </w:r>
          </w:p>
        </w:tc>
      </w:tr>
      <w:tr w14:paraId="6352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78" w:type="dxa"/>
            <w:vMerge w:val="continue"/>
          </w:tcPr>
          <w:p w14:paraId="42DC597C">
            <w:pPr>
              <w:tabs>
                <w:tab w:val="left" w:pos="3780"/>
              </w:tabs>
              <w:spacing w:line="0" w:lineRule="atLeast"/>
              <w:rPr>
                <w:rFonts w:hint="eastAsia" w:ascii="宋体" w:hAnsi="宋体" w:eastAsia="宋体" w:cs="Times New Roman"/>
                <w:sz w:val="18"/>
                <w:szCs w:val="18"/>
              </w:rPr>
            </w:pPr>
          </w:p>
        </w:tc>
        <w:tc>
          <w:tcPr>
            <w:tcW w:w="7963" w:type="dxa"/>
          </w:tcPr>
          <w:p w14:paraId="1A61C1A4">
            <w:pPr>
              <w:tabs>
                <w:tab w:val="left" w:pos="3780"/>
              </w:tabs>
              <w:spacing w:line="0" w:lineRule="atLeast"/>
              <w:rPr>
                <w:rFonts w:hint="eastAsia" w:ascii="宋体" w:hAnsi="宋体" w:eastAsia="宋体" w:cs="Times New Roman"/>
                <w:b/>
                <w:bCs/>
                <w:sz w:val="18"/>
                <w:szCs w:val="18"/>
              </w:rPr>
            </w:pPr>
            <w:r>
              <w:rPr>
                <w:rFonts w:hint="eastAsia" w:ascii="宋体" w:hAnsi="宋体" w:eastAsia="宋体" w:cs="Times New Roman"/>
                <w:b/>
                <w:bCs/>
                <w:sz w:val="18"/>
                <w:szCs w:val="18"/>
              </w:rPr>
              <w:t>- 获胜队项目汇报</w:t>
            </w:r>
          </w:p>
          <w:p w14:paraId="334E7104">
            <w:pPr>
              <w:numPr>
                <w:ilvl w:val="0"/>
                <w:numId w:val="12"/>
              </w:numPr>
              <w:tabs>
                <w:tab w:val="left" w:pos="3780"/>
              </w:tabs>
              <w:spacing w:line="0" w:lineRule="atLeast"/>
              <w:ind w:left="420" w:leftChars="200"/>
              <w:contextualSpacing/>
              <w:rPr>
                <w:rFonts w:hint="eastAsia" w:ascii="宋体" w:hAnsi="宋体" w:eastAsia="宋体" w:cs="Times New Roman"/>
                <w:sz w:val="18"/>
                <w:szCs w:val="18"/>
              </w:rPr>
            </w:pPr>
            <w:r>
              <w:rPr>
                <w:rFonts w:ascii="宋体" w:hAnsi="宋体" w:eastAsia="宋体" w:cs="Times New Roman"/>
                <w:sz w:val="18"/>
                <w:szCs w:val="18"/>
              </w:rPr>
              <w:t>获胜队伍汇报项目成果，并总结经验，为后续赛事和项目提供借鉴。</w:t>
            </w:r>
          </w:p>
        </w:tc>
      </w:tr>
    </w:tbl>
    <w:p w14:paraId="704700F3">
      <w:pPr>
        <w:pStyle w:val="17"/>
        <w:tabs>
          <w:tab w:val="left" w:pos="420"/>
        </w:tabs>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2025减贫营初赛于6月7日在清华大学以线上线下结合方式举办，汇聚中拉27所高校的310余名师生，共102支队伍参赛，其中跨国组队达39支。清华大学的22支队伍现场展示减贫方案，拉美高校的70支队伍线上参评，充分体现赛事国际广度，促进了跨文化合作和全球减贫问题的合作解决。经充分评审，12支队伍最终晋级跨国决赛。</w:t>
      </w:r>
    </w:p>
    <w:p w14:paraId="6EFC52F3">
      <w:pPr>
        <w:pStyle w:val="17"/>
        <w:tabs>
          <w:tab w:val="left" w:pos="420"/>
        </w:tabs>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2025减贫营决赛分巴西（8月13-15日）和智利（8月20-22日）两赛区举办，通过多元环节深化青年减贫实践能力，搭建跨文化交流平台，为中拉减贫合作探索出可持续的创新路径。赛队在实地调研中直观感受艺术赋能减贫和基层治理经验，在学术研讨会中体悟AI减贫前沿议题，在辅导环节中获得提升项目可行性的专业指导，在决赛展示环节中展现青年创新与本土实践的深度融合。</w:t>
      </w:r>
    </w:p>
    <w:p w14:paraId="61072B09">
      <w:pPr>
        <w:pStyle w:val="24"/>
        <w:spacing w:before="156" w:beforeLines="50" w:after="156" w:afterLines="50"/>
        <w:rPr>
          <w:rFonts w:hint="eastAsia" w:ascii="仿宋" w:hAnsi="仿宋" w:eastAsia="仿宋" w:cs="仿宋"/>
        </w:rPr>
      </w:pPr>
      <w:r>
        <w:rPr>
          <w:rFonts w:hint="eastAsia" w:ascii="仿宋" w:hAnsi="仿宋" w:eastAsia="仿宋" w:cs="仿宋"/>
        </w:rPr>
        <w:t>2. 多元主体协同扩容，企业深度共创实践</w:t>
      </w:r>
    </w:p>
    <w:p w14:paraId="6B0AF4B9">
      <w:pPr>
        <w:pStyle w:val="17"/>
        <w:tabs>
          <w:tab w:val="left" w:pos="420"/>
        </w:tabs>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在合作伙伴网络拓展方面，本届减贫营实现了全方位的突破与升级。</w:t>
      </w:r>
    </w:p>
    <w:p w14:paraId="1E5B5219">
      <w:pPr>
        <w:pStyle w:val="17"/>
        <w:tabs>
          <w:tab w:val="left" w:pos="420"/>
        </w:tabs>
        <w:spacing w:line="360" w:lineRule="auto"/>
        <w:ind w:firstLine="42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在参赛地域覆盖方面，</w:t>
      </w:r>
      <w:r>
        <w:rPr>
          <w:rFonts w:hint="eastAsia" w:ascii="仿宋" w:hAnsi="仿宋" w:eastAsia="仿宋" w:cs="仿宋"/>
          <w:color w:val="000000" w:themeColor="text1"/>
          <w14:textFill>
            <w14:solidFill>
              <w14:schemeClr w14:val="tx1"/>
            </w14:solidFill>
          </w14:textFill>
        </w:rPr>
        <w:t>项目在巩固中国、巴西、智利等核心赛区的基础上，首次将</w:t>
      </w:r>
      <w:r>
        <w:rPr>
          <w:rFonts w:hint="eastAsia" w:ascii="仿宋" w:hAnsi="仿宋" w:eastAsia="仿宋" w:cs="仿宋"/>
          <w:b/>
          <w:bCs/>
          <w:color w:val="000000" w:themeColor="text1"/>
          <w14:textFill>
            <w14:solidFill>
              <w14:schemeClr w14:val="tx1"/>
            </w14:solidFill>
          </w14:textFill>
        </w:rPr>
        <w:t>秘鲁</w:t>
      </w:r>
      <w:r>
        <w:rPr>
          <w:rFonts w:hint="eastAsia" w:ascii="仿宋" w:hAnsi="仿宋" w:eastAsia="仿宋" w:cs="仿宋"/>
          <w:color w:val="000000" w:themeColor="text1"/>
          <w14:textFill>
            <w14:solidFill>
              <w14:schemeClr w14:val="tx1"/>
            </w14:solidFill>
          </w14:textFill>
        </w:rPr>
        <w:t>正式纳入参赛国，显著提升了项目在拉美地区的覆盖面和影响力。</w:t>
      </w:r>
    </w:p>
    <w:p w14:paraId="30694A59">
      <w:pPr>
        <w:pStyle w:val="17"/>
        <w:tabs>
          <w:tab w:val="left" w:pos="420"/>
        </w:tabs>
        <w:spacing w:line="360" w:lineRule="auto"/>
        <w:ind w:firstLine="42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在参赛机构维度方面，</w:t>
      </w:r>
      <w:r>
        <w:rPr>
          <w:rFonts w:hint="eastAsia" w:ascii="仿宋" w:hAnsi="仿宋" w:eastAsia="仿宋" w:cs="仿宋"/>
          <w:color w:val="000000" w:themeColor="text1"/>
          <w14:textFill>
            <w14:solidFill>
              <w14:schemeClr w14:val="tx1"/>
            </w14:solidFill>
          </w14:textFill>
        </w:rPr>
        <w:t>项目在保持高校主体参与的同时，开创性地引入企业实践力量——</w:t>
      </w:r>
      <w:r>
        <w:rPr>
          <w:rFonts w:hint="eastAsia" w:ascii="仿宋" w:hAnsi="仿宋" w:eastAsia="仿宋" w:cs="仿宋"/>
          <w:b/>
          <w:bCs/>
          <w:color w:val="000000" w:themeColor="text1"/>
          <w14:textFill>
            <w14:solidFill>
              <w14:schemeClr w14:val="tx1"/>
            </w14:solidFill>
          </w14:textFill>
        </w:rPr>
        <w:t>秘鲁五矿邦巴斯公司</w:t>
      </w:r>
      <w:r>
        <w:rPr>
          <w:rFonts w:hint="eastAsia" w:ascii="仿宋" w:hAnsi="仿宋" w:eastAsia="仿宋" w:cs="仿宋"/>
          <w:color w:val="000000" w:themeColor="text1"/>
          <w14:textFill>
            <w14:solidFill>
              <w14:schemeClr w14:val="tx1"/>
            </w14:solidFill>
          </w14:textFill>
        </w:rPr>
        <w:t>作为首家参与减贫营的企业代表，凭借其在拉美地区丰富的社区发展和减贫实践经验，为赛事注入了宝贵的实践视角和行业智慧。</w:t>
      </w:r>
    </w:p>
    <w:p w14:paraId="5255F3D3">
      <w:pPr>
        <w:pStyle w:val="17"/>
        <w:tabs>
          <w:tab w:val="left" w:pos="420"/>
        </w:tabs>
        <w:spacing w:line="360" w:lineRule="auto"/>
        <w:ind w:firstLine="42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在合作机构维度方面，</w:t>
      </w:r>
      <w:r>
        <w:rPr>
          <w:rFonts w:hint="eastAsia" w:ascii="仿宋" w:hAnsi="仿宋" w:eastAsia="仿宋" w:cs="仿宋"/>
          <w:color w:val="000000" w:themeColor="text1"/>
          <w14:textFill>
            <w14:solidFill>
              <w14:schemeClr w14:val="tx1"/>
            </w14:solidFill>
          </w14:textFill>
        </w:rPr>
        <w:t>项目与国内外多家知名机构达成合作，包括远景科技集团、智利CGE集团等企业，中国国际减贫中心等专业机构，以及清华大学建筑学院、工业工程系、无障碍研究院、法学院、水利水电工程系、学堂在线等涵盖多个学科领域的校内单位。</w:t>
      </w:r>
    </w:p>
    <w:p w14:paraId="4677C808">
      <w:pPr>
        <w:pStyle w:val="17"/>
        <w:widowControl/>
        <w:tabs>
          <w:tab w:val="left" w:pos="420"/>
        </w:tabs>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这些合作伙伴将为赛事提供从实践选题、项目辅导到项目评比的全流程支持，共同构建起产学研深度融合、多方协同参与的可持续发展生态系统。</w:t>
      </w:r>
    </w:p>
    <w:p w14:paraId="7C41C7B3">
      <w:pPr>
        <w:pStyle w:val="24"/>
        <w:spacing w:before="156" w:beforeLines="50" w:after="156" w:afterLines="50"/>
        <w:rPr>
          <w:rFonts w:hint="eastAsia" w:ascii="仿宋" w:hAnsi="仿宋" w:eastAsia="仿宋" w:cs="仿宋"/>
        </w:rPr>
      </w:pPr>
      <w:r>
        <w:rPr>
          <w:rFonts w:hint="eastAsia" w:ascii="仿宋" w:hAnsi="仿宋" w:eastAsia="仿宋" w:cs="仿宋"/>
        </w:rPr>
        <w:t>3. 课程-赛事双轨融合，知识共享联动创新</w:t>
      </w:r>
    </w:p>
    <w:p w14:paraId="02971458">
      <w:pPr>
        <w:pStyle w:val="17"/>
        <w:tabs>
          <w:tab w:val="left" w:pos="420"/>
        </w:tabs>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清华大学协同智利和巴西主要合作高校于2025年共同开创《中拉青年应对全球挑战》跨国课程，力求实现如下联动：</w:t>
      </w:r>
    </w:p>
    <w:p w14:paraId="78F42040">
      <w:pPr>
        <w:pStyle w:val="17"/>
        <w:numPr>
          <w:ilvl w:val="0"/>
          <w:numId w:val="14"/>
        </w:numPr>
        <w:tabs>
          <w:tab w:val="left" w:pos="420"/>
        </w:tabs>
        <w:spacing w:line="360" w:lineRule="auto"/>
        <w:ind w:left="27" w:leftChars="13" w:firstLine="42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共享课程资源</w:t>
      </w:r>
      <w:r>
        <w:rPr>
          <w:rFonts w:hint="eastAsia" w:ascii="仿宋" w:hAnsi="仿宋" w:eastAsia="仿宋" w:cs="仿宋"/>
          <w:color w:val="000000" w:themeColor="text1"/>
          <w14:textFill>
            <w14:solidFill>
              <w14:schemeClr w14:val="tx1"/>
            </w14:solidFill>
          </w14:textFill>
        </w:rPr>
        <w:t>：将课程资源开放给中国、智利、巴西、秘鲁等国家参与“减贫营”的合作伙伴及选手。</w:t>
      </w:r>
    </w:p>
    <w:p w14:paraId="48861E81">
      <w:pPr>
        <w:pStyle w:val="17"/>
        <w:numPr>
          <w:ilvl w:val="0"/>
          <w:numId w:val="14"/>
        </w:numPr>
        <w:tabs>
          <w:tab w:val="left" w:pos="420"/>
        </w:tabs>
        <w:spacing w:line="360" w:lineRule="auto"/>
        <w:ind w:left="27" w:leftChars="13" w:firstLine="422"/>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创办中拉云讲座课堂</w:t>
      </w:r>
    </w:p>
    <w:p w14:paraId="5C4D10F4">
      <w:pPr>
        <w:pStyle w:val="17"/>
        <w:tabs>
          <w:tab w:val="left" w:pos="420"/>
        </w:tabs>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项目将于2025年4月至5月期间举办两场重磅学术讲座，汇聚中、巴、智三国减贫领域的核心专家，旨在通过中、巴、智三国专家的深度对话，提升学生对全球南方发展议题的理解能力与比较视野。</w:t>
      </w:r>
    </w:p>
    <w:p w14:paraId="13905588">
      <w:pPr>
        <w:pStyle w:val="17"/>
        <w:tabs>
          <w:tab w:val="left" w:pos="420"/>
        </w:tabs>
        <w:spacing w:line="360" w:lineRule="auto"/>
        <w:ind w:firstLine="843" w:firstLineChars="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一期讲座：</w:t>
      </w:r>
      <w:r>
        <w:rPr>
          <w:rFonts w:hint="eastAsia" w:ascii="仿宋" w:hAnsi="仿宋" w:eastAsia="仿宋" w:cs="仿宋"/>
          <w:color w:val="000000" w:themeColor="text1"/>
          <w14:textFill>
            <w14:solidFill>
              <w14:schemeClr w14:val="tx1"/>
            </w14:solidFill>
          </w14:textFill>
        </w:rPr>
        <w:t>于2025年4月24日举行，主题为“科技与社会发展中的减贫路径”，</w:t>
      </w:r>
    </w:p>
    <w:p w14:paraId="232E03AC">
      <w:pPr>
        <w:pStyle w:val="17"/>
        <w:tabs>
          <w:tab w:val="left" w:pos="420"/>
        </w:tabs>
        <w:spacing w:line="360" w:lineRule="auto"/>
        <w:ind w:left="420" w:leftChars="200" w:firstLine="0" w:firstLineChars="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由联合国开发计划署（UNDP）驻华代表处首席经济学家阚薇澜讲解AI在全球南方减贫 中的应用，智利天主教大学María Luisa Méndez与Magdalena Valdés教授分享城乡社会凝聚与生态保护对减贫的启示。</w:t>
      </w:r>
    </w:p>
    <w:p w14:paraId="374F98FA">
      <w:pPr>
        <w:pStyle w:val="17"/>
        <w:numPr>
          <w:ilvl w:val="255"/>
          <w:numId w:val="0"/>
        </w:numPr>
        <w:tabs>
          <w:tab w:val="left" w:pos="420"/>
        </w:tabs>
        <w:spacing w:line="360" w:lineRule="auto"/>
        <w:ind w:left="420" w:leftChars="200" w:firstLine="42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二期讲座：</w:t>
      </w:r>
      <w:r>
        <w:rPr>
          <w:rFonts w:hint="eastAsia" w:ascii="仿宋" w:hAnsi="仿宋" w:eastAsia="仿宋" w:cs="仿宋"/>
          <w:color w:val="000000" w:themeColor="text1"/>
          <w14:textFill>
            <w14:solidFill>
              <w14:schemeClr w14:val="tx1"/>
            </w14:solidFill>
          </w14:textFill>
        </w:rPr>
        <w:t>于2025年5月8日举行，主题为“本土实践与国际视角下的减贫经验”，由贵州“村超”团队介绍文化+体育+产业融合的乡村振兴路径，巴西里约热内卢联邦大学学者Pedro Fandiño与Paula Carvalho解析贫困与不平等的演变及其政策影响。</w:t>
      </w:r>
    </w:p>
    <w:p w14:paraId="03AC9135">
      <w:pPr>
        <w:pStyle w:val="17"/>
        <w:numPr>
          <w:ilvl w:val="0"/>
          <w:numId w:val="14"/>
        </w:numPr>
        <w:tabs>
          <w:tab w:val="left" w:pos="420"/>
        </w:tabs>
        <w:spacing w:line="360" w:lineRule="auto"/>
        <w:ind w:left="27" w:leftChars="13" w:firstLine="422"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推广AI领域课程：</w:t>
      </w:r>
      <w:r>
        <w:rPr>
          <w:rFonts w:hint="eastAsia" w:ascii="仿宋" w:hAnsi="仿宋" w:eastAsia="仿宋" w:cs="仿宋"/>
          <w:color w:val="000000" w:themeColor="text1"/>
          <w14:textFill>
            <w14:solidFill>
              <w14:schemeClr w14:val="tx1"/>
            </w14:solidFill>
          </w14:textFill>
        </w:rPr>
        <w:t>为赋能参赛队伍探索科技减贫路径，联合清华大学学堂在线平台，精选AI与减贫相关的前沿课程，构建“技术工具+应用场景”的AI减贫学习体系。课程面向全球参赛师生免费开放，并配套专家讲座与电子认证，助力青年将人工智能创新融入减贫方案设计，推动数字技术与发展议题的深度融合。</w:t>
      </w:r>
    </w:p>
    <w:p w14:paraId="0E4B3E54">
      <w:pPr>
        <w:pStyle w:val="24"/>
        <w:spacing w:before="156" w:beforeLines="50" w:after="156" w:afterLines="50"/>
        <w:rPr>
          <w:rFonts w:hint="eastAsia" w:ascii="仿宋" w:hAnsi="仿宋" w:eastAsia="仿宋" w:cs="仿宋"/>
        </w:rPr>
      </w:pPr>
      <w:r>
        <w:rPr>
          <w:rFonts w:hint="eastAsia" w:ascii="仿宋" w:hAnsi="仿宋" w:eastAsia="仿宋" w:cs="仿宋"/>
        </w:rPr>
        <w:t>4. 双轮驱动范式升级，学术-实践深度融合</w:t>
      </w:r>
    </w:p>
    <w:p w14:paraId="77A2C619">
      <w:pPr>
        <w:pStyle w:val="17"/>
        <w:tabs>
          <w:tab w:val="left" w:pos="420"/>
        </w:tabs>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“2025减贫营”项目作为探索减贫理论与实践的交汇平台，坚持双轮驱动范式，力求实现学术研究与实践创新的共赢，展示中拉减贫多维合作路径的宝贵成果：</w:t>
      </w:r>
    </w:p>
    <w:p w14:paraId="3A96A604">
      <w:pPr>
        <w:pStyle w:val="17"/>
        <w:tabs>
          <w:tab w:val="left" w:pos="420"/>
        </w:tabs>
        <w:spacing w:line="360" w:lineRule="auto"/>
        <w:ind w:firstLine="42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研究领动方面，</w:t>
      </w:r>
      <w:r>
        <w:rPr>
          <w:rFonts w:hint="eastAsia" w:ascii="仿宋" w:hAnsi="仿宋" w:eastAsia="仿宋" w:cs="仿宋"/>
          <w:color w:val="000000" w:themeColor="text1"/>
          <w14:textFill>
            <w14:solidFill>
              <w14:schemeClr w14:val="tx1"/>
            </w14:solidFill>
          </w14:textFill>
        </w:rPr>
        <w:t>本项目以清华大学拉美中心主任陈涛涛教授团队开发的清华减贫工具箱“5W1H+”理论分析框架为核心方法论，通过系统收集整理跨机构实践案例，构建起具有创新价值的减贫研究体系。基于2024年度的系列研究成果编撰的《中拉青年应对全球挑战——减贫》学术专著已进入出版流程，为全球减贫事业贡献了可复制、可推广的学术范式与实践路径。</w:t>
      </w:r>
    </w:p>
    <w:p w14:paraId="406BC7E3">
      <w:pPr>
        <w:pStyle w:val="17"/>
        <w:tabs>
          <w:tab w:val="left" w:pos="420"/>
        </w:tabs>
        <w:spacing w:line="360" w:lineRule="auto"/>
        <w:ind w:firstLine="42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实践推动方面，</w:t>
      </w:r>
      <w:r>
        <w:rPr>
          <w:rFonts w:hint="eastAsia" w:ascii="仿宋" w:hAnsi="仿宋" w:eastAsia="仿宋" w:cs="仿宋"/>
          <w:color w:val="000000" w:themeColor="text1"/>
          <w14:textFill>
            <w14:solidFill>
              <w14:schemeClr w14:val="tx1"/>
            </w14:solidFill>
          </w14:textFill>
        </w:rPr>
        <w:t>本项目精心搭建一个以青年为主体的中拉减贫合作平台，通过“初赛”和“跨国决赛”两个阶段，形成破冰环节、实地调研、论坛对话、导师辅导、方案设计与展示的贯通式全球胜任力培养链条。通过模块化赛道设置，引导中拉青年学者自主选择研究方向，组建跨国跨界创新团队，系统开展减贫实践案例的深度解码与创新解决方案研发，实现学术研究与社会价值的双向赋能。</w:t>
      </w:r>
    </w:p>
    <w:p w14:paraId="01E0208B">
      <w:pPr>
        <w:tabs>
          <w:tab w:val="left" w:pos="420"/>
        </w:tabs>
        <w:spacing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sz w:val="18"/>
          <w:szCs w:val="18"/>
        </w:rPr>
        <w:drawing>
          <wp:inline distT="0" distB="0" distL="0" distR="0">
            <wp:extent cx="4164330" cy="2773045"/>
            <wp:effectExtent l="0" t="0" r="1270" b="0"/>
            <wp:docPr id="405594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94588" name="图片 1"/>
                    <pic:cNvPicPr>
                      <a:picLocks noChangeAspect="1"/>
                    </pic:cNvPicPr>
                  </pic:nvPicPr>
                  <pic:blipFill>
                    <a:blip r:embed="rId11"/>
                    <a:stretch>
                      <a:fillRect/>
                    </a:stretch>
                  </pic:blipFill>
                  <pic:spPr>
                    <a:xfrm>
                      <a:off x="0" y="0"/>
                      <a:ext cx="4168647" cy="2775919"/>
                    </a:xfrm>
                    <a:prstGeom prst="rect">
                      <a:avLst/>
                    </a:prstGeom>
                  </pic:spPr>
                </pic:pic>
              </a:graphicData>
            </a:graphic>
          </wp:inline>
        </w:drawing>
      </w:r>
    </w:p>
    <w:p w14:paraId="0E4D1624">
      <w:pPr>
        <w:tabs>
          <w:tab w:val="left" w:pos="420"/>
        </w:tabs>
        <w:spacing w:line="360" w:lineRule="auto"/>
        <w:jc w:val="center"/>
        <w:rPr>
          <w:rFonts w:hint="eastAsia" w:ascii="仿宋" w:hAnsi="仿宋" w:eastAsia="仿宋" w:cs="仿宋"/>
          <w:b/>
          <w:bCs/>
          <w:color w:val="000000" w:themeColor="text1"/>
          <w:sz w:val="20"/>
          <w:szCs w:val="21"/>
          <w14:textFill>
            <w14:solidFill>
              <w14:schemeClr w14:val="tx1"/>
            </w14:solidFill>
          </w14:textFill>
        </w:rPr>
      </w:pPr>
      <w:r>
        <w:rPr>
          <w:rFonts w:hint="eastAsia" w:ascii="仿宋" w:hAnsi="仿宋" w:eastAsia="仿宋" w:cs="仿宋"/>
          <w:b/>
          <w:bCs/>
          <w:color w:val="000000" w:themeColor="text1"/>
          <w:sz w:val="20"/>
          <w:szCs w:val="21"/>
          <w14:textFill>
            <w14:solidFill>
              <w14:schemeClr w14:val="tx1"/>
            </w14:solidFill>
          </w14:textFill>
        </w:rPr>
        <w:t>图1：</w:t>
      </w:r>
      <w:bookmarkStart w:id="56" w:name="OLE_LINK2"/>
      <w:r>
        <w:rPr>
          <w:rFonts w:hint="eastAsia" w:ascii="仿宋" w:hAnsi="仿宋" w:eastAsia="仿宋" w:cs="仿宋"/>
          <w:b/>
          <w:bCs/>
          <w:color w:val="000000" w:themeColor="text1"/>
          <w:sz w:val="20"/>
          <w:szCs w:val="21"/>
          <w14:textFill>
            <w14:solidFill>
              <w14:schemeClr w14:val="tx1"/>
            </w14:solidFill>
          </w14:textFill>
        </w:rPr>
        <w:t>赛队参访</w:t>
      </w:r>
      <w:bookmarkEnd w:id="56"/>
      <w:r>
        <w:rPr>
          <w:rFonts w:hint="eastAsia" w:ascii="仿宋" w:hAnsi="仿宋" w:eastAsia="仿宋" w:cs="仿宋"/>
          <w:b/>
          <w:bCs/>
          <w:color w:val="000000" w:themeColor="text1"/>
          <w:sz w:val="20"/>
          <w:szCs w:val="21"/>
          <w14:textFill>
            <w14:solidFill>
              <w14:schemeClr w14:val="tx1"/>
            </w14:solidFill>
          </w14:textFill>
        </w:rPr>
        <w:t>巴西里约热内卢科帕卡巴纳要塞乐团</w:t>
      </w:r>
    </w:p>
    <w:p w14:paraId="3E572BE9">
      <w:pPr>
        <w:jc w:val="center"/>
        <w:rPr>
          <w:rFonts w:hint="eastAsia" w:ascii="仿宋" w:hAnsi="仿宋" w:eastAsia="仿宋" w:cs="仿宋"/>
          <w:iCs/>
          <w:sz w:val="18"/>
          <w:szCs w:val="18"/>
        </w:rPr>
      </w:pPr>
      <w:r>
        <w:rPr>
          <w:rFonts w:hint="eastAsia" w:ascii="仿宋" w:hAnsi="仿宋" w:eastAsia="仿宋" w:cs="仿宋"/>
          <w:iCs/>
          <w:sz w:val="18"/>
          <w:szCs w:val="18"/>
        </w:rPr>
        <w:drawing>
          <wp:inline distT="0" distB="0" distL="0" distR="0">
            <wp:extent cx="4003675" cy="2666365"/>
            <wp:effectExtent l="0" t="0" r="0" b="635"/>
            <wp:docPr id="1459345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45019" name="图片 1"/>
                    <pic:cNvPicPr>
                      <a:picLocks noChangeAspect="1"/>
                    </pic:cNvPicPr>
                  </pic:nvPicPr>
                  <pic:blipFill>
                    <a:blip r:embed="rId12"/>
                    <a:stretch>
                      <a:fillRect/>
                    </a:stretch>
                  </pic:blipFill>
                  <pic:spPr>
                    <a:xfrm>
                      <a:off x="0" y="0"/>
                      <a:ext cx="4011125" cy="2671026"/>
                    </a:xfrm>
                    <a:prstGeom prst="rect">
                      <a:avLst/>
                    </a:prstGeom>
                  </pic:spPr>
                </pic:pic>
              </a:graphicData>
            </a:graphic>
          </wp:inline>
        </w:drawing>
      </w:r>
    </w:p>
    <w:p w14:paraId="313C6967">
      <w:pPr>
        <w:jc w:val="center"/>
        <w:rPr>
          <w:rFonts w:hint="eastAsia" w:ascii="仿宋" w:hAnsi="仿宋" w:eastAsia="仿宋" w:cs="仿宋"/>
          <w:b/>
          <w:bCs/>
          <w:iCs/>
          <w:sz w:val="20"/>
          <w:szCs w:val="20"/>
        </w:rPr>
      </w:pPr>
      <w:r>
        <w:rPr>
          <w:rFonts w:hint="eastAsia" w:ascii="仿宋" w:hAnsi="仿宋" w:eastAsia="仿宋" w:cs="仿宋"/>
          <w:b/>
          <w:bCs/>
          <w:iCs/>
          <w:sz w:val="20"/>
          <w:szCs w:val="20"/>
        </w:rPr>
        <w:t>图2：</w:t>
      </w:r>
      <w:r>
        <w:rPr>
          <w:rFonts w:hint="eastAsia" w:ascii="仿宋" w:hAnsi="仿宋" w:eastAsia="仿宋" w:cs="仿宋"/>
          <w:b/>
          <w:bCs/>
          <w:color w:val="000000" w:themeColor="text1"/>
          <w:sz w:val="20"/>
          <w:szCs w:val="20"/>
          <w14:textFill>
            <w14:solidFill>
              <w14:schemeClr w14:val="tx1"/>
            </w14:solidFill>
          </w14:textFill>
        </w:rPr>
        <w:t>赛队参访智利</w:t>
      </w:r>
      <w:r>
        <w:rPr>
          <w:rFonts w:hint="eastAsia" w:ascii="仿宋" w:hAnsi="仿宋" w:eastAsia="仿宋" w:cs="仿宋"/>
          <w:b/>
          <w:bCs/>
          <w:iCs/>
          <w:sz w:val="20"/>
          <w:szCs w:val="20"/>
        </w:rPr>
        <w:t>洛埃斯佩霍市政府</w:t>
      </w:r>
    </w:p>
    <w:p w14:paraId="75A47380">
      <w:pPr>
        <w:tabs>
          <w:tab w:val="left" w:pos="420"/>
        </w:tabs>
        <w:spacing w:line="360" w:lineRule="auto"/>
        <w:jc w:val="center"/>
        <w:rPr>
          <w:rFonts w:hint="eastAsia" w:ascii="仿宋" w:hAnsi="仿宋" w:eastAsia="仿宋" w:cs="仿宋"/>
          <w:b/>
          <w:bCs/>
          <w:color w:val="000000" w:themeColor="text1"/>
          <w:sz w:val="20"/>
          <w:szCs w:val="21"/>
          <w14:textFill>
            <w14:solidFill>
              <w14:schemeClr w14:val="tx1"/>
            </w14:solidFill>
          </w14:textFill>
        </w:rPr>
      </w:pPr>
    </w:p>
    <w:p w14:paraId="40EFE299">
      <w:pPr>
        <w:ind w:firstLine="360" w:firstLineChars="200"/>
        <w:jc w:val="center"/>
        <w:rPr>
          <w:rFonts w:hint="eastAsia" w:ascii="仿宋" w:hAnsi="仿宋" w:eastAsia="仿宋" w:cs="仿宋"/>
          <w:iCs/>
          <w:sz w:val="18"/>
          <w:szCs w:val="18"/>
        </w:rPr>
      </w:pPr>
      <w:r>
        <w:rPr>
          <w:rFonts w:hint="eastAsia" w:ascii="仿宋" w:hAnsi="仿宋" w:eastAsia="仿宋" w:cs="仿宋"/>
          <w:iCs/>
          <w:sz w:val="18"/>
          <w:szCs w:val="18"/>
        </w:rPr>
        <w:drawing>
          <wp:inline distT="0" distB="0" distL="0" distR="0">
            <wp:extent cx="3050540" cy="4086225"/>
            <wp:effectExtent l="0" t="0" r="0" b="0"/>
            <wp:docPr id="1676399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99937" name="图片 1"/>
                    <pic:cNvPicPr>
                      <a:picLocks noChangeAspect="1"/>
                    </pic:cNvPicPr>
                  </pic:nvPicPr>
                  <pic:blipFill>
                    <a:blip r:embed="rId13"/>
                    <a:stretch>
                      <a:fillRect/>
                    </a:stretch>
                  </pic:blipFill>
                  <pic:spPr>
                    <a:xfrm>
                      <a:off x="0" y="0"/>
                      <a:ext cx="3062589" cy="4102110"/>
                    </a:xfrm>
                    <a:prstGeom prst="rect">
                      <a:avLst/>
                    </a:prstGeom>
                  </pic:spPr>
                </pic:pic>
              </a:graphicData>
            </a:graphic>
          </wp:inline>
        </w:drawing>
      </w:r>
    </w:p>
    <w:p w14:paraId="4DD4CD0A">
      <w:pPr>
        <w:ind w:firstLine="402" w:firstLineChars="200"/>
        <w:jc w:val="center"/>
        <w:rPr>
          <w:rFonts w:hint="eastAsia" w:ascii="仿宋" w:hAnsi="仿宋" w:eastAsia="仿宋" w:cs="仿宋"/>
          <w:b/>
          <w:bCs/>
          <w:iCs/>
          <w:sz w:val="20"/>
          <w:szCs w:val="20"/>
        </w:rPr>
      </w:pPr>
      <w:r>
        <w:rPr>
          <w:rFonts w:hint="eastAsia" w:ascii="仿宋" w:hAnsi="仿宋" w:eastAsia="仿宋" w:cs="仿宋"/>
          <w:b/>
          <w:bCs/>
          <w:iCs/>
          <w:sz w:val="20"/>
          <w:szCs w:val="20"/>
        </w:rPr>
        <w:t>图3：巴西决赛研讨会</w:t>
      </w:r>
    </w:p>
    <w:p w14:paraId="77CAE114">
      <w:pPr>
        <w:ind w:firstLine="360" w:firstLineChars="200"/>
        <w:jc w:val="center"/>
        <w:rPr>
          <w:rFonts w:hint="eastAsia" w:ascii="仿宋" w:hAnsi="仿宋" w:eastAsia="仿宋" w:cs="仿宋"/>
          <w:iCs/>
          <w:sz w:val="18"/>
          <w:szCs w:val="18"/>
        </w:rPr>
      </w:pPr>
      <w:r>
        <w:rPr>
          <w:rFonts w:hint="eastAsia" w:ascii="仿宋" w:hAnsi="仿宋" w:eastAsia="仿宋" w:cs="仿宋"/>
          <w:iCs/>
          <w:sz w:val="18"/>
          <w:szCs w:val="18"/>
        </w:rPr>
        <w:drawing>
          <wp:inline distT="0" distB="0" distL="0" distR="0">
            <wp:extent cx="3089275" cy="3089275"/>
            <wp:effectExtent l="0" t="0" r="0" b="0"/>
            <wp:docPr id="1314412112" name="图片 1" descr="一群人站在男人的照片上写着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12112" name="图片 1" descr="一群人站在男人的照片上写着字&#10;&#10;AI 生成的内容可能不正确。"/>
                    <pic:cNvPicPr>
                      <a:picLocks noChangeAspect="1"/>
                    </pic:cNvPicPr>
                  </pic:nvPicPr>
                  <pic:blipFill>
                    <a:blip r:embed="rId14"/>
                    <a:stretch>
                      <a:fillRect/>
                    </a:stretch>
                  </pic:blipFill>
                  <pic:spPr>
                    <a:xfrm>
                      <a:off x="0" y="0"/>
                      <a:ext cx="3094842" cy="3094842"/>
                    </a:xfrm>
                    <a:prstGeom prst="rect">
                      <a:avLst/>
                    </a:prstGeom>
                  </pic:spPr>
                </pic:pic>
              </a:graphicData>
            </a:graphic>
          </wp:inline>
        </w:drawing>
      </w:r>
    </w:p>
    <w:p w14:paraId="3D29C469">
      <w:pPr>
        <w:ind w:firstLine="402" w:firstLineChars="20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iCs/>
          <w:sz w:val="20"/>
          <w:szCs w:val="20"/>
        </w:rPr>
        <w:t>图4：智利决赛研讨会</w:t>
      </w:r>
    </w:p>
    <w:p w14:paraId="0660CBA3">
      <w:pPr>
        <w:pStyle w:val="24"/>
        <w:spacing w:before="156" w:beforeLines="50" w:after="156" w:afterLines="50"/>
        <w:rPr>
          <w:rFonts w:hint="eastAsia" w:ascii="仿宋" w:hAnsi="仿宋" w:eastAsia="仿宋" w:cs="仿宋"/>
        </w:rPr>
      </w:pPr>
      <w:r>
        <w:rPr>
          <w:rFonts w:hint="eastAsia" w:ascii="仿宋" w:hAnsi="仿宋" w:eastAsia="仿宋" w:cs="仿宋"/>
        </w:rPr>
        <w:t xml:space="preserve">5. </w:t>
      </w:r>
      <w:r>
        <w:rPr>
          <w:rFonts w:hint="eastAsia" w:ascii="仿宋" w:hAnsi="仿宋" w:eastAsia="仿宋" w:cs="仿宋"/>
          <w:lang w:val="en-US" w:eastAsia="zh-CN"/>
        </w:rPr>
        <w:t>中拉</w:t>
      </w:r>
      <w:r>
        <w:rPr>
          <w:rFonts w:hint="eastAsia" w:ascii="仿宋" w:hAnsi="仿宋" w:eastAsia="仿宋" w:cs="仿宋"/>
        </w:rPr>
        <w:t>导师跨界协同，创新鼓励跨国协作</w:t>
      </w:r>
    </w:p>
    <w:p w14:paraId="4A70D760">
      <w:pPr>
        <w:pStyle w:val="17"/>
        <w:tabs>
          <w:tab w:val="left" w:pos="420"/>
        </w:tabs>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2025“减贫营”汇聚了来自</w:t>
      </w:r>
      <w:r>
        <w:rPr>
          <w:rFonts w:hint="eastAsia" w:ascii="仿宋" w:hAnsi="仿宋" w:eastAsia="仿宋" w:cs="仿宋"/>
          <w:b/>
          <w:bCs/>
          <w:color w:val="000000" w:themeColor="text1"/>
          <w14:textFill>
            <w14:solidFill>
              <w14:schemeClr w14:val="tx1"/>
            </w14:solidFill>
          </w14:textFill>
        </w:rPr>
        <w:t>中国（37位）、智利（30位）、巴西（4位）和秘鲁（4位）的75位专业导师</w:t>
      </w:r>
      <w:r>
        <w:rPr>
          <w:rFonts w:hint="eastAsia" w:ascii="仿宋" w:hAnsi="仿宋" w:eastAsia="仿宋" w:cs="仿宋"/>
          <w:color w:val="000000" w:themeColor="text1"/>
          <w14:textFill>
            <w14:solidFill>
              <w14:schemeClr w14:val="tx1"/>
            </w14:solidFill>
          </w14:textFill>
        </w:rPr>
        <w:t>，覆盖人工智能、金融赋能、环境保护、企业社会责任等多个领域，形成跨地域、跨学科的多元指导力量。初赛阶段，项目组开发了在线预约系统，支持参赛队伍灵活选择导师，通过线上会议、问题清单等形式获得个性化辅导。在决赛阶段，赛事提供了胜出团队与中拉导师面对面交流的宝贵机会，中拉导师线下与胜出团队深入探讨，通过导师们的专业指导与跨学科交流助力其更深入地完善项目设计与实施策略。</w:t>
      </w:r>
    </w:p>
    <w:p w14:paraId="66034953">
      <w:pPr>
        <w:pStyle w:val="17"/>
        <w:tabs>
          <w:tab w:val="left" w:pos="420"/>
        </w:tabs>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导师团队重点围绕选题科学性、利益相关者分析、关键痛点识别、策略创新及跨国应用可行性等核心议题，引导学生结合现实贫困场景深化方案设计，显著提升了解决方案的专业水平和落地潜力。</w:t>
      </w:r>
      <w:r>
        <w:rPr>
          <w:rFonts w:hint="eastAsia" w:ascii="仿宋" w:hAnsi="仿宋" w:eastAsia="仿宋" w:cs="仿宋"/>
          <w:color w:val="000000" w:themeColor="text1"/>
          <w:lang w:val="en-US" w:eastAsia="zh-CN"/>
          <w14:textFill>
            <w14:solidFill>
              <w14:schemeClr w14:val="tx1"/>
            </w14:solidFill>
          </w14:textFill>
        </w:rPr>
        <w:t>中拉</w:t>
      </w:r>
      <w:r>
        <w:rPr>
          <w:rFonts w:hint="eastAsia" w:ascii="仿宋" w:hAnsi="仿宋" w:eastAsia="仿宋" w:cs="仿宋"/>
          <w:color w:val="000000" w:themeColor="text1"/>
          <w14:textFill>
            <w14:solidFill>
              <w14:schemeClr w14:val="tx1"/>
            </w14:solidFill>
          </w14:textFill>
        </w:rPr>
        <w:t>导师网络的构建与高效运作，为参赛项目提供了坚实的智力和实践支持，也为后续成果的孵化与推广奠定了重要基础。</w:t>
      </w:r>
    </w:p>
    <w:p w14:paraId="2720F1FC">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drawing>
          <wp:inline distT="0" distB="0" distL="0" distR="0">
            <wp:extent cx="4740910" cy="2344420"/>
            <wp:effectExtent l="0" t="0" r="2540" b="8255"/>
            <wp:docPr id="1792896766" name="图片 1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96766" name="图片 10" descr="图形用户界面, 应用程序&#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40910" cy="2344420"/>
                    </a:xfrm>
                    <a:prstGeom prst="rect">
                      <a:avLst/>
                    </a:prstGeom>
                    <a:noFill/>
                    <a:ln>
                      <a:noFill/>
                    </a:ln>
                  </pic:spPr>
                </pic:pic>
              </a:graphicData>
            </a:graphic>
          </wp:inline>
        </w:drawing>
      </w:r>
    </w:p>
    <w:p w14:paraId="35F01B8D">
      <w:pPr>
        <w:spacing w:line="300" w:lineRule="exact"/>
        <w:jc w:val="center"/>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sz w:val="20"/>
          <w:szCs w:val="20"/>
        </w:rPr>
        <w:t>图5：2025“减贫营”线上导师见面会合影</w:t>
      </w:r>
    </w:p>
    <w:p w14:paraId="575DC33E">
      <w:pPr>
        <w:pStyle w:val="17"/>
        <w:tabs>
          <w:tab w:val="left" w:pos="420"/>
        </w:tabs>
        <w:spacing w:line="360" w:lineRule="auto"/>
        <w:ind w:firstLine="422"/>
        <w:jc w:val="center"/>
        <w:rPr>
          <w:rFonts w:hint="eastAsia" w:ascii="仿宋" w:hAnsi="仿宋" w:eastAsia="仿宋" w:cs="仿宋"/>
          <w:b/>
          <w:bCs/>
          <w:color w:val="000000" w:themeColor="text1"/>
          <w14:textFill>
            <w14:solidFill>
              <w14:schemeClr w14:val="tx1"/>
            </w14:solidFill>
          </w14:textFill>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9"/>
        <w:gridCol w:w="4243"/>
      </w:tblGrid>
      <w:tr w14:paraId="6FEE2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6" w:type="dxa"/>
            <w:vAlign w:val="center"/>
          </w:tcPr>
          <w:p w14:paraId="43180541">
            <w:pPr>
              <w:tabs>
                <w:tab w:val="left" w:pos="420"/>
              </w:tabs>
              <w:spacing w:line="360" w:lineRule="auto"/>
              <w:jc w:val="center"/>
              <w:rPr>
                <w:rFonts w:hint="eastAsia" w:ascii="仿宋" w:hAnsi="仿宋" w:eastAsia="仿宋" w:cs="仿宋"/>
                <w:b/>
                <w:bCs/>
                <w:color w:val="000000" w:themeColor="text1"/>
                <w14:textFill>
                  <w14:solidFill>
                    <w14:schemeClr w14:val="tx1"/>
                  </w14:solidFill>
                </w14:textFill>
              </w:rPr>
            </w:pPr>
            <w:r>
              <w:drawing>
                <wp:inline distT="0" distB="0" distL="0" distR="0">
                  <wp:extent cx="2634615" cy="1755775"/>
                  <wp:effectExtent l="0" t="0" r="0" b="0"/>
                  <wp:docPr id="5162139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13932"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34615" cy="1755775"/>
                          </a:xfrm>
                          <a:prstGeom prst="rect">
                            <a:avLst/>
                          </a:prstGeom>
                          <a:noFill/>
                          <a:ln>
                            <a:noFill/>
                          </a:ln>
                        </pic:spPr>
                      </pic:pic>
                    </a:graphicData>
                  </a:graphic>
                </wp:inline>
              </w:drawing>
            </w:r>
          </w:p>
        </w:tc>
        <w:tc>
          <w:tcPr>
            <w:tcW w:w="4130" w:type="dxa"/>
            <w:vAlign w:val="center"/>
          </w:tcPr>
          <w:p w14:paraId="0B8E5F64">
            <w:pPr>
              <w:tabs>
                <w:tab w:val="left" w:pos="420"/>
              </w:tabs>
              <w:spacing w:line="360" w:lineRule="auto"/>
              <w:jc w:val="center"/>
              <w:rPr>
                <w:rFonts w:hint="eastAsia" w:ascii="仿宋" w:hAnsi="仿宋" w:eastAsia="仿宋" w:cs="仿宋"/>
                <w:b/>
                <w:bCs/>
                <w:color w:val="000000" w:themeColor="text1"/>
                <w14:textFill>
                  <w14:solidFill>
                    <w14:schemeClr w14:val="tx1"/>
                  </w14:solidFill>
                </w14:textFill>
              </w:rPr>
            </w:pPr>
            <w:r>
              <w:rPr>
                <w:rFonts w:ascii="仿宋" w:hAnsi="仿宋" w:eastAsia="仿宋" w:cs="仿宋"/>
                <w:b/>
                <w:bCs/>
                <w:color w:val="000000" w:themeColor="text1"/>
                <w14:textFill>
                  <w14:solidFill>
                    <w14:schemeClr w14:val="tx1"/>
                  </w14:solidFill>
                </w14:textFill>
              </w:rPr>
              <w:drawing>
                <wp:inline distT="0" distB="0" distL="0" distR="0">
                  <wp:extent cx="2611120" cy="1739900"/>
                  <wp:effectExtent l="0" t="0" r="0" b="0"/>
                  <wp:docPr id="18259053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05305"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11120" cy="1739900"/>
                          </a:xfrm>
                          <a:prstGeom prst="rect">
                            <a:avLst/>
                          </a:prstGeom>
                          <a:noFill/>
                          <a:ln>
                            <a:noFill/>
                          </a:ln>
                        </pic:spPr>
                      </pic:pic>
                    </a:graphicData>
                  </a:graphic>
                </wp:inline>
              </w:drawing>
            </w:r>
          </w:p>
        </w:tc>
      </w:tr>
      <w:tr w14:paraId="4A19F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14:paraId="1F06272F">
            <w:pPr>
              <w:tabs>
                <w:tab w:val="left" w:pos="420"/>
              </w:tabs>
              <w:spacing w:line="360" w:lineRule="auto"/>
              <w:jc w:val="center"/>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图6：2025“减贫营”巴西（左）、智利（右）决赛线下辅导</w:t>
            </w:r>
          </w:p>
        </w:tc>
      </w:tr>
    </w:tbl>
    <w:p w14:paraId="621875C0">
      <w:pPr>
        <w:tabs>
          <w:tab w:val="left" w:pos="420"/>
        </w:tabs>
        <w:spacing w:line="360" w:lineRule="auto"/>
        <w:rPr>
          <w:rFonts w:hint="eastAsia" w:ascii="仿宋" w:hAnsi="仿宋" w:eastAsia="仿宋" w:cs="仿宋"/>
          <w:b/>
          <w:bCs/>
          <w:color w:val="000000" w:themeColor="text1"/>
          <w14:textFill>
            <w14:solidFill>
              <w14:schemeClr w14:val="tx1"/>
            </w14:solidFill>
          </w14:textFill>
        </w:rPr>
      </w:pPr>
    </w:p>
    <w:p w14:paraId="5F6A38B7">
      <w:pPr>
        <w:pStyle w:val="17"/>
        <w:tabs>
          <w:tab w:val="left" w:pos="420"/>
        </w:tabs>
        <w:spacing w:line="360" w:lineRule="auto"/>
        <w:ind w:firstLine="42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本届赛事在组队机制上同样实现创新突破，首次着力推动参赛队伍以“跨国协作”形式组建。</w:t>
      </w:r>
      <w:r>
        <w:rPr>
          <w:rFonts w:hint="eastAsia" w:ascii="仿宋" w:hAnsi="仿宋" w:eastAsia="仿宋" w:cs="仿宋"/>
          <w:color w:val="000000" w:themeColor="text1"/>
          <w14:textFill>
            <w14:solidFill>
              <w14:schemeClr w14:val="tx1"/>
            </w14:solidFill>
          </w14:textFill>
        </w:rPr>
        <w:t>中拉青年通过线上平台进行专业背景、技能方向与合作意愿的精准匹配，鼓励每支队伍至少包含来自两个不同国家的成员，旨在激发跨文化思维碰撞，培养青年应对全球挑战的协作能力。在巴西和智利决赛赛场，跨国组员得到了线下交流的宝贵机会，有效打破了文化隔阂，真正促进跨文化互学互鉴。</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95"/>
        <w:gridCol w:w="4227"/>
      </w:tblGrid>
      <w:tr w14:paraId="3327B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81" w:type="dxa"/>
            <w:vAlign w:val="center"/>
          </w:tcPr>
          <w:p w14:paraId="090EA8E3">
            <w:pPr>
              <w:tabs>
                <w:tab w:val="left" w:pos="420"/>
              </w:tabs>
              <w:spacing w:line="360" w:lineRule="auto"/>
              <w:jc w:val="center"/>
              <w:rPr>
                <w:rFonts w:hint="eastAsia" w:ascii="仿宋" w:hAnsi="仿宋" w:eastAsia="仿宋" w:cs="仿宋"/>
                <w:color w:val="000000" w:themeColor="text1"/>
                <w14:textFill>
                  <w14:solidFill>
                    <w14:schemeClr w14:val="tx1"/>
                  </w14:solidFill>
                </w14:textFill>
              </w:rPr>
            </w:pPr>
            <w:r>
              <w:rPr>
                <w:rFonts w:ascii="Times New Roman" w:hAnsi="Times New Roman" w:eastAsia="宋体" w:cs="Times New Roman"/>
                <w:iCs/>
                <w:sz w:val="18"/>
                <w:szCs w:val="18"/>
              </w:rPr>
              <w:drawing>
                <wp:inline distT="0" distB="0" distL="0" distR="0">
                  <wp:extent cx="2634615" cy="1728470"/>
                  <wp:effectExtent l="0" t="0" r="0" b="5080"/>
                  <wp:docPr id="49481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141"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4615" cy="1728470"/>
                          </a:xfrm>
                          <a:prstGeom prst="rect">
                            <a:avLst/>
                          </a:prstGeom>
                        </pic:spPr>
                      </pic:pic>
                    </a:graphicData>
                  </a:graphic>
                </wp:inline>
              </w:drawing>
            </w:r>
          </w:p>
        </w:tc>
        <w:tc>
          <w:tcPr>
            <w:tcW w:w="4115" w:type="dxa"/>
          </w:tcPr>
          <w:p w14:paraId="1271CF3B">
            <w:pPr>
              <w:tabs>
                <w:tab w:val="left" w:pos="420"/>
              </w:tabs>
              <w:spacing w:line="360" w:lineRule="auto"/>
              <w:jc w:val="center"/>
              <w:rPr>
                <w:rFonts w:hint="eastAsia" w:ascii="仿宋" w:hAnsi="仿宋" w:eastAsia="仿宋" w:cs="仿宋"/>
                <w:color w:val="000000" w:themeColor="text1"/>
                <w14:textFill>
                  <w14:solidFill>
                    <w14:schemeClr w14:val="tx1"/>
                  </w14:solidFill>
                </w14:textFill>
              </w:rPr>
            </w:pPr>
            <w:r>
              <w:drawing>
                <wp:inline distT="0" distB="0" distL="0" distR="0">
                  <wp:extent cx="2590165" cy="1713865"/>
                  <wp:effectExtent l="0" t="0" r="635" b="635"/>
                  <wp:docPr id="1849550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50273"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0165" cy="1713865"/>
                          </a:xfrm>
                          <a:prstGeom prst="rect">
                            <a:avLst/>
                          </a:prstGeom>
                        </pic:spPr>
                      </pic:pic>
                    </a:graphicData>
                  </a:graphic>
                </wp:inline>
              </w:drawing>
            </w:r>
          </w:p>
        </w:tc>
      </w:tr>
      <w:tr w14:paraId="30CD2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14:paraId="15C48FCB">
            <w:pPr>
              <w:tabs>
                <w:tab w:val="left" w:pos="420"/>
              </w:tabs>
              <w:spacing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图7：2025“减贫营”巴西（左）、智利（右）决赛破冰</w:t>
            </w:r>
          </w:p>
        </w:tc>
      </w:tr>
    </w:tbl>
    <w:p w14:paraId="4A3798BA">
      <w:pPr>
        <w:tabs>
          <w:tab w:val="left" w:pos="420"/>
        </w:tabs>
        <w:spacing w:line="360" w:lineRule="auto"/>
        <w:jc w:val="center"/>
        <w:rPr>
          <w:rFonts w:hint="eastAsia" w:ascii="仿宋" w:hAnsi="仿宋" w:eastAsia="仿宋" w:cs="仿宋"/>
          <w:color w:val="000000" w:themeColor="text1"/>
          <w14:textFill>
            <w14:solidFill>
              <w14:schemeClr w14:val="tx1"/>
            </w14:solidFill>
          </w14:textFill>
        </w:rPr>
      </w:pPr>
    </w:p>
    <w:p w14:paraId="51EAF408">
      <w:pPr>
        <w:pStyle w:val="17"/>
        <w:tabs>
          <w:tab w:val="left" w:pos="420"/>
        </w:tabs>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跨文化多元导师指导体系与创新组队模式的有机结合，为参赛团队创造了全球学习场域。来自不同文化背景的导师以其多元的专业视角，为跨国团队提供了丰富的学术支持和实践指导；跨国组建的队伍则能够更好地理解和吸收导师们的跨文化经验，将多元智慧转化为切实可行的解决方案。在双向互动的学习生态中，导师的跨界知识与学生的跨国实践相互滋养，拓展解决方案全球视野的同时也增强了其本土适应性。</w:t>
      </w:r>
    </w:p>
    <w:p w14:paraId="3DA0B64A">
      <w:pPr>
        <w:pStyle w:val="24"/>
        <w:spacing w:before="156" w:beforeLines="50" w:after="156" w:afterLines="50"/>
        <w:rPr>
          <w:rFonts w:hint="eastAsia" w:ascii="仿宋" w:hAnsi="仿宋" w:eastAsia="仿宋" w:cs="仿宋"/>
        </w:rPr>
      </w:pPr>
      <w:r>
        <w:rPr>
          <w:rFonts w:hint="eastAsia" w:ascii="仿宋" w:hAnsi="仿宋" w:eastAsia="仿宋" w:cs="仿宋"/>
        </w:rPr>
        <w:t>6. 长效合作生态构建，推动减贫方案可持续孵化</w:t>
      </w:r>
    </w:p>
    <w:p w14:paraId="597E177D">
      <w:pPr>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“减贫营”赛事致力于构建长效合作生态，推动减贫方案的可持续孵化与落地。</w:t>
      </w:r>
    </w:p>
    <w:p w14:paraId="5557F1BF">
      <w:pPr>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方面，赛事以积极探索减贫实践基地建设为重要抓手，打造面向中拉青年的实地参访与交流平台，通过组织深入一线的考察、沉浸式工作坊和跨文化对话，促进理论与实践深度融合；另一方面，创新性地依托清华大学各院系及企业伙伴共建真实命题，由院系专家和企业实践者共同提供紧扣现实需求的参赛课题，同时整合跨国机构资源，系统探索从“赛事成果”到“区域推广”的可持续路径。一系列举措是通过实践探究和验证中拉减贫合作的有效性，从而为未来建设中拉减贫实践基地奠定坚实基础。</w:t>
      </w:r>
    </w:p>
    <w:p w14:paraId="29E21656">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617FB4EF">
      <w:pPr>
        <w:pStyle w:val="22"/>
        <w:numPr>
          <w:ilvl w:val="255"/>
          <w:numId w:val="0"/>
        </w:numPr>
        <w:jc w:val="center"/>
        <w:rPr>
          <w:rFonts w:ascii="黑体" w:hAnsi="黑体" w:eastAsia="黑体" w:cs="黑体"/>
        </w:rPr>
      </w:pPr>
      <w:bookmarkStart w:id="57" w:name="_Toc16190"/>
      <w:bookmarkStart w:id="58" w:name="_Toc21838"/>
      <w:bookmarkStart w:id="59" w:name="_Toc30576"/>
      <w:bookmarkStart w:id="60" w:name="_Toc30938"/>
      <w:bookmarkStart w:id="61" w:name="_Toc29182"/>
      <w:bookmarkStart w:id="62" w:name="_Toc30452"/>
      <w:bookmarkStart w:id="63" w:name="_Toc7735"/>
      <w:bookmarkStart w:id="64" w:name="_Toc26257"/>
      <w:bookmarkStart w:id="65" w:name="_Toc24158"/>
      <w:bookmarkStart w:id="66" w:name="_Toc20551"/>
      <w:bookmarkStart w:id="67" w:name="_Toc23268"/>
      <w:bookmarkStart w:id="68" w:name="_Toc1964"/>
      <w:bookmarkStart w:id="69" w:name="_Toc2242"/>
      <w:bookmarkStart w:id="70" w:name="_Toc7803"/>
      <w:r>
        <w:rPr>
          <w:rFonts w:ascii="黑体" w:hAnsi="黑体" w:eastAsia="黑体" w:cs="黑体"/>
        </w:rPr>
        <w:t>四、获奖团队</w:t>
      </w:r>
      <w:bookmarkEnd w:id="57"/>
      <w:bookmarkEnd w:id="58"/>
      <w:bookmarkEnd w:id="59"/>
      <w:bookmarkEnd w:id="60"/>
      <w:bookmarkEnd w:id="61"/>
      <w:bookmarkEnd w:id="62"/>
      <w:r>
        <w:rPr>
          <w:rFonts w:ascii="黑体" w:hAnsi="黑体" w:eastAsia="黑体" w:cs="黑体"/>
        </w:rPr>
        <w:t>及项目</w:t>
      </w:r>
      <w:bookmarkEnd w:id="63"/>
      <w:bookmarkEnd w:id="64"/>
      <w:bookmarkEnd w:id="65"/>
      <w:bookmarkEnd w:id="66"/>
      <w:bookmarkEnd w:id="67"/>
      <w:bookmarkEnd w:id="68"/>
      <w:bookmarkEnd w:id="69"/>
      <w:r>
        <w:rPr>
          <w:rFonts w:ascii="黑体" w:hAnsi="黑体" w:eastAsia="黑体" w:cs="黑体"/>
        </w:rPr>
        <w:t>介绍</w:t>
      </w:r>
      <w:bookmarkEnd w:id="70"/>
      <w:bookmarkStart w:id="71" w:name="_Toc25892"/>
      <w:bookmarkStart w:id="72" w:name="_Toc3485"/>
      <w:bookmarkStart w:id="73" w:name="_Toc21183"/>
      <w:bookmarkStart w:id="74" w:name="_Toc24285"/>
      <w:bookmarkStart w:id="75" w:name="_Toc27907"/>
      <w:bookmarkStart w:id="76" w:name="_Toc16265"/>
      <w:bookmarkStart w:id="77" w:name="_Toc29834"/>
    </w:p>
    <w:p w14:paraId="7B4D30E7">
      <w:pPr>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2025“减贫营”赛事汇聚了来自中国、巴西、智利、秘鲁四国共计27所高校与企业机构的310余名师生参加。参赛团队从全球减贫问题出发，提出了一系列理论与实践相结合的创意方案。项目主题涵盖教育、农业、人工智能、绿色建筑、老龄健康等多个议题，展现了青年团队在全球减贫领域的创新能力与实践潜力。</w:t>
      </w:r>
    </w:p>
    <w:p w14:paraId="5B5A0654">
      <w:pPr>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在所有参赛项目中，经过由中国和拉美高校的专家共同组成的评审团的评选，12支团队成功晋级决赛，其项目涉及</w:t>
      </w:r>
      <w:r>
        <w:rPr>
          <w:rFonts w:hint="eastAsia" w:ascii="仿宋" w:hAnsi="仿宋" w:eastAsia="仿宋" w:cs="仿宋"/>
          <w:b/>
          <w:bCs/>
          <w:color w:val="000000" w:themeColor="text1"/>
          <w14:textFill>
            <w14:solidFill>
              <w14:schemeClr w14:val="tx1"/>
            </w14:solidFill>
          </w14:textFill>
        </w:rPr>
        <w:t>AI技术应用、可持续建筑材料、无障碍发展、清洁能源、智慧农业</w:t>
      </w:r>
      <w:r>
        <w:rPr>
          <w:rFonts w:hint="eastAsia" w:ascii="仿宋" w:hAnsi="仿宋" w:eastAsia="仿宋" w:cs="仿宋"/>
          <w:color w:val="000000" w:themeColor="text1"/>
          <w14:textFill>
            <w14:solidFill>
              <w14:schemeClr w14:val="tx1"/>
            </w14:solidFill>
          </w14:textFill>
        </w:rPr>
        <w:t>等多方面。晋级团队经过决赛阶段的“项目优化”和“决赛展示”等环节，在巴西赛区和智利赛区决赛中同台竞技、互学互鉴，最终评选出金、银、铜奖得主。</w:t>
      </w:r>
    </w:p>
    <w:p w14:paraId="27B19A76">
      <w:pPr>
        <w:spacing w:line="360" w:lineRule="auto"/>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 巴西赛区决赛获胜</w:t>
      </w:r>
      <w:bookmarkEnd w:id="71"/>
      <w:r>
        <w:rPr>
          <w:rFonts w:hint="eastAsia" w:ascii="仿宋" w:hAnsi="仿宋" w:eastAsia="仿宋" w:cs="仿宋"/>
          <w:b/>
          <w:bCs/>
          <w:color w:val="000000" w:themeColor="text1"/>
          <w14:textFill>
            <w14:solidFill>
              <w14:schemeClr w14:val="tx1"/>
            </w14:solidFill>
          </w14:textFill>
        </w:rPr>
        <w:t>队及项目</w:t>
      </w:r>
      <w:bookmarkEnd w:id="72"/>
      <w:bookmarkEnd w:id="73"/>
      <w:bookmarkEnd w:id="74"/>
      <w:bookmarkEnd w:id="75"/>
      <w:bookmarkEnd w:id="76"/>
      <w:bookmarkEnd w:id="77"/>
    </w:p>
    <w:p w14:paraId="637F6174">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经过角逐，</w:t>
      </w:r>
      <w:r>
        <w:rPr>
          <w:rFonts w:hint="eastAsia" w:ascii="仿宋" w:hAnsi="仿宋" w:eastAsia="仿宋" w:cs="仿宋"/>
          <w:b/>
          <w:bCs/>
          <w:color w:val="000000" w:themeColor="text1"/>
          <w14:textFill>
            <w14:solidFill>
              <w14:schemeClr w14:val="tx1"/>
            </w14:solidFill>
          </w14:textFill>
        </w:rPr>
        <w:t>来自清华大学的参赛队伍“</w:t>
      </w:r>
      <w:bookmarkStart w:id="78" w:name="OLE_LINK8"/>
      <w:r>
        <w:rPr>
          <w:rFonts w:hint="eastAsia" w:ascii="仿宋" w:hAnsi="仿宋" w:eastAsia="仿宋" w:cs="仿宋"/>
          <w:b/>
          <w:bCs/>
          <w:color w:val="000000" w:themeColor="text1"/>
          <w14:textFill>
            <w14:solidFill>
              <w14:schemeClr w14:val="tx1"/>
            </w14:solidFill>
          </w14:textFill>
        </w:rPr>
        <w:t>阳光绿洲</w:t>
      </w:r>
      <w:bookmarkEnd w:id="78"/>
      <w:r>
        <w:rPr>
          <w:rFonts w:hint="eastAsia" w:ascii="仿宋" w:hAnsi="仿宋" w:eastAsia="仿宋" w:cs="仿宋"/>
          <w:b/>
          <w:bCs/>
          <w:color w:val="000000" w:themeColor="text1"/>
          <w14:textFill>
            <w14:solidFill>
              <w14:schemeClr w14:val="tx1"/>
            </w14:solidFill>
          </w14:textFill>
        </w:rPr>
        <w:t>（Sol Verde）”</w:t>
      </w:r>
      <w:r>
        <w:rPr>
          <w:rFonts w:hint="eastAsia" w:ascii="仿宋" w:hAnsi="仿宋" w:eastAsia="仿宋" w:cs="仿宋"/>
          <w:color w:val="000000" w:themeColor="text1"/>
          <w14:textFill>
            <w14:solidFill>
              <w14:schemeClr w14:val="tx1"/>
            </w14:solidFill>
          </w14:textFill>
        </w:rPr>
        <w:t>摘得桂冠。他们聚焦于在巴西塞尔唐地区推广“农光互补”系统，将农业生产与光伏发电相结合，不仅提高土地利用效率，还为当地创造新的收入来源，增强气候韧性。</w:t>
      </w:r>
    </w:p>
    <w:p w14:paraId="28CA8F03">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获得银奖的分别是来自秘鲁邦巴斯矿业公司与里约热内卢联邦大学联合组成的</w:t>
      </w:r>
      <w:r>
        <w:rPr>
          <w:rFonts w:hint="eastAsia" w:ascii="仿宋" w:hAnsi="仿宋" w:eastAsia="仿宋" w:cs="仿宋"/>
          <w:b/>
          <w:bCs/>
          <w:color w:val="000000" w:themeColor="text1"/>
          <w14:textFill>
            <w14:solidFill>
              <w14:schemeClr w14:val="tx1"/>
            </w14:solidFill>
          </w14:textFill>
        </w:rPr>
        <w:t>“玛拉社区赋能计划（LLaqta Team）”</w:t>
      </w:r>
      <w:r>
        <w:rPr>
          <w:rFonts w:hint="eastAsia" w:ascii="仿宋" w:hAnsi="仿宋" w:eastAsia="仿宋" w:cs="仿宋"/>
          <w:color w:val="000000" w:themeColor="text1"/>
          <w14:textFill>
            <w14:solidFill>
              <w14:schemeClr w14:val="tx1"/>
            </w14:solidFill>
          </w14:textFill>
        </w:rPr>
        <w:t>，通过农业技术培训、合作社建设和金融知识普及，助力秘鲁马拉地区农民提升生产效率与收入水平；以及来自清华大学与里约热内卢联邦大学的“</w:t>
      </w:r>
      <w:r>
        <w:rPr>
          <w:rFonts w:hint="eastAsia" w:ascii="仿宋" w:hAnsi="仿宋" w:eastAsia="仿宋" w:cs="仿宋"/>
          <w:b/>
          <w:bCs/>
          <w:color w:val="000000" w:themeColor="text1"/>
          <w14:textFill>
            <w14:solidFill>
              <w14:schemeClr w14:val="tx1"/>
            </w14:solidFill>
          </w14:textFill>
        </w:rPr>
        <w:t>中国云南-昆山咖啡产业链赋能巴西智慧物流（TransPobreza先锋）”</w:t>
      </w:r>
      <w:r>
        <w:rPr>
          <w:rFonts w:hint="eastAsia" w:ascii="仿宋" w:hAnsi="仿宋" w:eastAsia="仿宋" w:cs="仿宋"/>
          <w:color w:val="000000" w:themeColor="text1"/>
          <w14:textFill>
            <w14:solidFill>
              <w14:schemeClr w14:val="tx1"/>
            </w14:solidFill>
          </w14:textFill>
        </w:rPr>
        <w:t>，他们借鉴中国“云南-苏州咖啡模式”，提出优化巴西咖啡运输体系的综合行动方案，以促进产业链升级和农户增收。</w:t>
      </w:r>
    </w:p>
    <w:p w14:paraId="7DDD20D5">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获得铜奖的三支团队为：来自清华大学与巴西FGV法学院学生组成的</w:t>
      </w:r>
      <w:r>
        <w:rPr>
          <w:rFonts w:hint="eastAsia" w:ascii="仿宋" w:hAnsi="仿宋" w:eastAsia="仿宋" w:cs="仿宋"/>
          <w:b/>
          <w:bCs/>
          <w:color w:val="000000" w:themeColor="text1"/>
          <w14:textFill>
            <w14:solidFill>
              <w14:schemeClr w14:val="tx1"/>
            </w14:solidFill>
          </w14:textFill>
        </w:rPr>
        <w:t>“水木智法”法律大模型解决巴西法律服务贫困（TsingLex）</w:t>
      </w:r>
      <w:r>
        <w:rPr>
          <w:rFonts w:hint="eastAsia" w:ascii="仿宋" w:hAnsi="仿宋" w:eastAsia="仿宋" w:cs="仿宋"/>
          <w:color w:val="000000" w:themeColor="text1"/>
          <w14:textFill>
            <w14:solidFill>
              <w14:schemeClr w14:val="tx1"/>
            </w14:solidFill>
          </w14:textFill>
        </w:rPr>
        <w:t>，通过人工智能平台提供便捷低价的法律服务，助力弱势群体提升法律可及性；来自里约热内卢联邦大学的</w:t>
      </w:r>
      <w:r>
        <w:rPr>
          <w:rFonts w:hint="eastAsia" w:ascii="仿宋" w:hAnsi="仿宋" w:eastAsia="仿宋" w:cs="仿宋"/>
          <w:b/>
          <w:bCs/>
          <w:color w:val="000000" w:themeColor="text1"/>
          <w14:textFill>
            <w14:solidFill>
              <w14:schemeClr w14:val="tx1"/>
            </w14:solidFill>
          </w14:textFill>
        </w:rPr>
        <w:t>“点亮社区可持续之光（Minerva Acendere）”</w:t>
      </w:r>
      <w:r>
        <w:rPr>
          <w:rFonts w:hint="eastAsia" w:ascii="仿宋" w:hAnsi="仿宋" w:eastAsia="仿宋" w:cs="仿宋"/>
          <w:color w:val="000000" w:themeColor="text1"/>
          <w14:textFill>
            <w14:solidFill>
              <w14:schemeClr w14:val="tx1"/>
            </w14:solidFill>
          </w14:textFill>
        </w:rPr>
        <w:t>，通过分布式光伏能源项目改善贫民窟能源可及性，强调社区参与与可持续发展；以及由清华大学、智利大学和里约热内卢联邦大学学生组成的</w:t>
      </w:r>
      <w:r>
        <w:rPr>
          <w:rFonts w:hint="eastAsia" w:ascii="仿宋" w:hAnsi="仿宋" w:eastAsia="仿宋" w:cs="仿宋"/>
          <w:b/>
          <w:bCs/>
          <w:color w:val="000000" w:themeColor="text1"/>
          <w14:textFill>
            <w14:solidFill>
              <w14:schemeClr w14:val="tx1"/>
            </w14:solidFill>
          </w14:textFill>
        </w:rPr>
        <w:t>“融合工坊”残疾人手工艺就业平台（Integrated Workshop）</w:t>
      </w:r>
      <w:r>
        <w:rPr>
          <w:rFonts w:hint="eastAsia" w:ascii="仿宋" w:hAnsi="仿宋" w:eastAsia="仿宋" w:cs="仿宋"/>
          <w:color w:val="000000" w:themeColor="text1"/>
          <w14:textFill>
            <w14:solidFill>
              <w14:schemeClr w14:val="tx1"/>
            </w14:solidFill>
          </w14:textFill>
        </w:rPr>
        <w:t>，他们打造手工艺品就业平台，并借助人工智能技术帮助残障人士实现收入增长与社会融入。</w:t>
      </w:r>
    </w:p>
    <w:p w14:paraId="274174CE">
      <w:pPr>
        <w:spacing w:line="360" w:lineRule="auto"/>
        <w:jc w:val="center"/>
        <w:rPr>
          <w:rFonts w:hint="eastAsia" w:ascii="仿宋" w:hAnsi="仿宋" w:eastAsia="仿宋" w:cs="仿宋"/>
          <w:color w:val="000000" w:themeColor="text1"/>
          <w14:textFill>
            <w14:solidFill>
              <w14:schemeClr w14:val="tx1"/>
            </w14:solidFill>
          </w14:textFill>
        </w:rPr>
      </w:pPr>
      <w:r>
        <w:rPr>
          <w:rFonts w:ascii="Times New Roman" w:hAnsi="Times New Roman" w:eastAsia="宋体" w:cs="Times New Roman"/>
          <w:iCs/>
          <w:sz w:val="18"/>
          <w:szCs w:val="18"/>
        </w:rPr>
        <w:drawing>
          <wp:inline distT="0" distB="0" distL="0" distR="0">
            <wp:extent cx="3328035" cy="4435475"/>
            <wp:effectExtent l="0" t="0" r="5715" b="3175"/>
            <wp:docPr id="461779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79665" name="图片 1"/>
                    <pic:cNvPicPr>
                      <a:picLocks noChangeAspect="1"/>
                    </pic:cNvPicPr>
                  </pic:nvPicPr>
                  <pic:blipFill>
                    <a:blip r:embed="rId20"/>
                    <a:stretch>
                      <a:fillRect/>
                    </a:stretch>
                  </pic:blipFill>
                  <pic:spPr>
                    <a:xfrm>
                      <a:off x="0" y="0"/>
                      <a:ext cx="3332887" cy="4441976"/>
                    </a:xfrm>
                    <a:prstGeom prst="rect">
                      <a:avLst/>
                    </a:prstGeom>
                  </pic:spPr>
                </pic:pic>
              </a:graphicData>
            </a:graphic>
          </wp:inline>
        </w:drawing>
      </w:r>
    </w:p>
    <w:p w14:paraId="152ACC32">
      <w:pPr>
        <w:spacing w:line="360" w:lineRule="auto"/>
        <w:jc w:val="center"/>
        <w:rPr>
          <w:rFonts w:hint="eastAsia" w:ascii="仿宋" w:hAnsi="仿宋" w:eastAsia="仿宋" w:cs="仿宋"/>
          <w:b/>
          <w:bCs/>
          <w:color w:val="000000" w:themeColor="text1"/>
          <w:sz w:val="24"/>
          <w:szCs w:val="28"/>
          <w14:textFill>
            <w14:solidFill>
              <w14:schemeClr w14:val="tx1"/>
            </w14:solidFill>
          </w14:textFill>
        </w:rPr>
      </w:pPr>
      <w:r>
        <w:rPr>
          <w:rFonts w:hint="eastAsia" w:ascii="仿宋" w:hAnsi="仿宋" w:eastAsia="仿宋" w:cs="仿宋"/>
          <w:b/>
          <w:bCs/>
          <w:color w:val="000000" w:themeColor="text1"/>
          <w:sz w:val="20"/>
          <w:szCs w:val="21"/>
          <w14:textFill>
            <w14:solidFill>
              <w14:schemeClr w14:val="tx1"/>
            </w14:solidFill>
          </w14:textFill>
        </w:rPr>
        <w:t>图8：巴西决赛学生展示</w:t>
      </w:r>
    </w:p>
    <w:p w14:paraId="25E846F9">
      <w:pPr>
        <w:spacing w:line="360" w:lineRule="auto"/>
        <w:jc w:val="center"/>
        <w:rPr>
          <w:rFonts w:hint="eastAsia" w:ascii="仿宋" w:hAnsi="仿宋" w:eastAsia="仿宋" w:cs="仿宋"/>
          <w:color w:val="000000" w:themeColor="text1"/>
          <w14:textFill>
            <w14:solidFill>
              <w14:schemeClr w14:val="tx1"/>
            </w14:solidFill>
          </w14:textFill>
        </w:rPr>
      </w:pPr>
    </w:p>
    <w:p w14:paraId="5AF789C2">
      <w:pPr>
        <w:spacing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4933315" cy="2663190"/>
            <wp:effectExtent l="0" t="0" r="635" b="3810"/>
            <wp:docPr id="735647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4759" name="图片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933315" cy="2663190"/>
                    </a:xfrm>
                    <a:prstGeom prst="rect">
                      <a:avLst/>
                    </a:prstGeom>
                    <a:noFill/>
                    <a:ln>
                      <a:noFill/>
                    </a:ln>
                  </pic:spPr>
                </pic:pic>
              </a:graphicData>
            </a:graphic>
          </wp:inline>
        </w:drawing>
      </w:r>
    </w:p>
    <w:p w14:paraId="656CC65E">
      <w:pPr>
        <w:spacing w:line="360" w:lineRule="auto"/>
        <w:jc w:val="center"/>
        <w:rPr>
          <w:rFonts w:hint="eastAsia" w:ascii="仿宋" w:hAnsi="仿宋" w:eastAsia="仿宋" w:cs="仿宋"/>
          <w:b/>
          <w:bCs/>
          <w:color w:val="000000" w:themeColor="text1"/>
          <w:sz w:val="24"/>
          <w:szCs w:val="28"/>
          <w14:textFill>
            <w14:solidFill>
              <w14:schemeClr w14:val="tx1"/>
            </w14:solidFill>
          </w14:textFill>
        </w:rPr>
      </w:pPr>
      <w:r>
        <w:rPr>
          <w:rFonts w:hint="eastAsia" w:ascii="仿宋" w:hAnsi="仿宋" w:eastAsia="仿宋" w:cs="仿宋"/>
          <w:b/>
          <w:bCs/>
          <w:color w:val="000000" w:themeColor="text1"/>
          <w:sz w:val="20"/>
          <w:szCs w:val="21"/>
          <w14:textFill>
            <w14:solidFill>
              <w14:schemeClr w14:val="tx1"/>
            </w14:solidFill>
          </w14:textFill>
        </w:rPr>
        <w:t>图9：巴西决赛圆满收官</w:t>
      </w:r>
    </w:p>
    <w:p w14:paraId="1902FDC2">
      <w:pPr>
        <w:spacing w:line="360" w:lineRule="auto"/>
        <w:rPr>
          <w:rFonts w:hint="eastAsia" w:ascii="仿宋" w:hAnsi="仿宋" w:eastAsia="仿宋" w:cs="仿宋"/>
          <w:color w:val="000000" w:themeColor="text1"/>
          <w14:textFill>
            <w14:solidFill>
              <w14:schemeClr w14:val="tx1"/>
            </w14:solidFill>
          </w14:textFill>
        </w:rPr>
      </w:pPr>
    </w:p>
    <w:p w14:paraId="22CDCDC0">
      <w:pPr>
        <w:spacing w:line="360" w:lineRule="auto"/>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 智利赛区决赛获胜队及项目</w:t>
      </w:r>
    </w:p>
    <w:p w14:paraId="4C5B0329">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决赛队伍围绕清洁能源利用、农业与水资源创新、产业升级与社区发展、数字平台促进就业等议题进行展示。各团队结合自身学科背景与跨文化视角，提出了应对贫困挑战的多样化策略与创新方案，涵盖从利用矿业废料打造绿色建材、推广离网光伏能源，到建设模块化应急住房、探索清洁水资源可持续供给，再到打造社区创客空间与数字化就业平台等方向。</w:t>
      </w:r>
    </w:p>
    <w:p w14:paraId="5A950F83">
      <w:pPr>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经过角逐，</w:t>
      </w:r>
      <w:r>
        <w:rPr>
          <w:rFonts w:hint="eastAsia" w:ascii="仿宋" w:hAnsi="仿宋" w:eastAsia="仿宋" w:cs="仿宋"/>
          <w:b/>
          <w:bCs/>
          <w:color w:val="000000" w:themeColor="text1"/>
          <w:szCs w:val="21"/>
          <w14:textFill>
            <w14:solidFill>
              <w14:schemeClr w14:val="tx1"/>
            </w14:solidFill>
          </w14:textFill>
        </w:rPr>
        <w:t>来自清华大学和智利大学的参赛队伍“微光筑梦”</w:t>
      </w:r>
      <w:r>
        <w:rPr>
          <w:rFonts w:hint="eastAsia" w:ascii="仿宋" w:hAnsi="仿宋" w:eastAsia="仿宋" w:cs="仿宋"/>
          <w:color w:val="000000" w:themeColor="text1"/>
          <w:szCs w:val="21"/>
          <w14:textFill>
            <w14:solidFill>
              <w14:schemeClr w14:val="tx1"/>
            </w14:solidFill>
          </w14:textFill>
        </w:rPr>
        <w:t>最终摘得桂冠。他们的项目借鉴中国“妈妈水窖”经验，引入分布式收集、集中式处理的模式，致力于为智利北部水资源匮乏地区提供可持续解决方案。通过新能源手段，项目不仅能改善饮用水和电力供给，还促进社区间的文化交流与基于AI的信息互通，让居民在生活、安全与沟通层面受益，打破信息壁垒，助力社区脱贫致富。</w:t>
      </w:r>
    </w:p>
    <w:p w14:paraId="238109B4">
      <w:pPr>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来自秘鲁太平洋大学的“Pacíficos Peruanos”团队</w:t>
      </w:r>
      <w:r>
        <w:rPr>
          <w:rFonts w:hint="eastAsia" w:ascii="仿宋" w:hAnsi="仿宋" w:eastAsia="仿宋" w:cs="仿宋"/>
          <w:color w:val="000000" w:themeColor="text1"/>
          <w:szCs w:val="21"/>
          <w14:textFill>
            <w14:solidFill>
              <w14:schemeClr w14:val="tx1"/>
            </w14:solidFill>
          </w14:textFill>
        </w:rPr>
        <w:t>荣获银奖。他们的项目聚焦于秘鲁沿海、高原及亚马逊地区的清洁水资源供应问题，通过可持续且创新的解决方案，改善用水条件，助力减贫与民生福祉。</w:t>
      </w:r>
      <w:r>
        <w:rPr>
          <w:rFonts w:hint="eastAsia" w:ascii="仿宋" w:hAnsi="仿宋" w:eastAsia="仿宋" w:cs="仿宋"/>
          <w:b/>
          <w:bCs/>
          <w:color w:val="000000" w:themeColor="text1"/>
          <w:szCs w:val="21"/>
          <w14:textFill>
            <w14:solidFill>
              <w14:schemeClr w14:val="tx1"/>
            </w14:solidFill>
          </w14:textFill>
        </w:rPr>
        <w:t>来自清华大学、里约热内卢联邦大学和智利大学的跨国团队“Resilio”</w:t>
      </w:r>
      <w:r>
        <w:rPr>
          <w:rFonts w:hint="eastAsia" w:ascii="仿宋" w:hAnsi="仿宋" w:eastAsia="仿宋" w:cs="仿宋"/>
          <w:color w:val="000000" w:themeColor="text1"/>
          <w:szCs w:val="21"/>
          <w14:textFill>
            <w14:solidFill>
              <w14:schemeClr w14:val="tx1"/>
            </w14:solidFill>
          </w14:textFill>
        </w:rPr>
        <w:t>同样摘得银奖。他们提出的模块化应急庇护系统，利用可折叠式房屋在灾害中提供紧急住所，并在灾后转化为社区服务设施，帮助拉美弱势群体提升灾害应对与长期发展能力。</w:t>
      </w:r>
    </w:p>
    <w:p w14:paraId="285E148F">
      <w:pPr>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来自智利天主教大学、圣地亚哥大学、智利大学、以及清华大学组成的跨国团队“Minova”</w:t>
      </w:r>
      <w:r>
        <w:rPr>
          <w:rFonts w:hint="eastAsia" w:ascii="仿宋" w:hAnsi="仿宋" w:eastAsia="仿宋" w:cs="仿宋"/>
          <w:color w:val="000000" w:themeColor="text1"/>
          <w:szCs w:val="21"/>
          <w14:textFill>
            <w14:solidFill>
              <w14:schemeClr w14:val="tx1"/>
            </w14:solidFill>
          </w14:textFill>
        </w:rPr>
        <w:t>荣获铜奖和最受观众欢迎奖。他们的项目利用矿业废料制成可持续建材，并探索基于社区的可持续商业模式，以促进地方发展并助力减贫。</w:t>
      </w:r>
      <w:r>
        <w:rPr>
          <w:rFonts w:hint="eastAsia" w:ascii="仿宋" w:hAnsi="仿宋" w:eastAsia="仿宋" w:cs="仿宋"/>
          <w:b/>
          <w:bCs/>
          <w:color w:val="000000" w:themeColor="text1"/>
          <w:szCs w:val="21"/>
          <w14:textFill>
            <w14:solidFill>
              <w14:schemeClr w14:val="tx1"/>
            </w14:solidFill>
          </w14:textFill>
        </w:rPr>
        <w:t>来自智利天主教大学、清华大学及里约热内卢联邦大学的“Equity Pioneers”</w:t>
      </w:r>
      <w:r>
        <w:rPr>
          <w:rFonts w:hint="eastAsia" w:ascii="仿宋" w:hAnsi="仿宋" w:eastAsia="仿宋" w:cs="仿宋"/>
          <w:color w:val="000000" w:themeColor="text1"/>
          <w:szCs w:val="21"/>
          <w14:textFill>
            <w14:solidFill>
              <w14:schemeClr w14:val="tx1"/>
            </w14:solidFill>
          </w14:textFill>
        </w:rPr>
        <w:t>团队同样摘得铜奖。他们提出建立面向社区的创客空间网络，为农村居民提供必要的工具、现代技术与专业指导，激发其设计与创新潜能。</w:t>
      </w:r>
      <w:r>
        <w:rPr>
          <w:rFonts w:hint="eastAsia" w:ascii="仿宋" w:hAnsi="仿宋" w:eastAsia="仿宋" w:cs="仿宋"/>
          <w:b/>
          <w:bCs/>
          <w:color w:val="000000" w:themeColor="text1"/>
          <w:szCs w:val="21"/>
          <w14:textFill>
            <w14:solidFill>
              <w14:schemeClr w14:val="tx1"/>
            </w14:solidFill>
          </w14:textFill>
        </w:rPr>
        <w:t>来自清华大学和智利大学的跨国团队“Pega Paga Bien”</w:t>
      </w:r>
      <w:r>
        <w:rPr>
          <w:rFonts w:hint="eastAsia" w:ascii="仿宋" w:hAnsi="仿宋" w:eastAsia="仿宋" w:cs="仿宋"/>
          <w:color w:val="000000" w:themeColor="text1"/>
          <w:szCs w:val="21"/>
          <w14:textFill>
            <w14:solidFill>
              <w14:schemeClr w14:val="tx1"/>
            </w14:solidFill>
          </w14:textFill>
        </w:rPr>
        <w:t>也获得铜奖。他们开发了一款数字化平台，旨在拓展移民与青年群体的就业机会，帮助他们更好地融入社会并改善生活。</w:t>
      </w:r>
    </w:p>
    <w:p w14:paraId="3C478771">
      <w:pPr>
        <w:spacing w:line="360" w:lineRule="auto"/>
        <w:jc w:val="center"/>
        <w:rPr>
          <w:rFonts w:hint="eastAsia" w:ascii="仿宋" w:hAnsi="仿宋" w:eastAsia="仿宋" w:cs="仿宋"/>
          <w:color w:val="000000" w:themeColor="text1"/>
          <w14:textFill>
            <w14:solidFill>
              <w14:schemeClr w14:val="tx1"/>
            </w14:solidFill>
          </w14:textFill>
        </w:rPr>
      </w:pPr>
      <w:r>
        <w:rPr>
          <w:rFonts w:ascii="Times New Roman" w:hAnsi="Times New Roman" w:eastAsia="宋体" w:cs="Times New Roman"/>
          <w:iCs/>
          <w:sz w:val="18"/>
          <w:szCs w:val="18"/>
        </w:rPr>
        <w:drawing>
          <wp:inline distT="0" distB="0" distL="0" distR="0">
            <wp:extent cx="3947160" cy="3947160"/>
            <wp:effectExtent l="0" t="0" r="0" b="0"/>
            <wp:docPr id="1005609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09021" name="图片 1"/>
                    <pic:cNvPicPr>
                      <a:picLocks noChangeAspect="1"/>
                    </pic:cNvPicPr>
                  </pic:nvPicPr>
                  <pic:blipFill>
                    <a:blip r:embed="rId22"/>
                    <a:stretch>
                      <a:fillRect/>
                    </a:stretch>
                  </pic:blipFill>
                  <pic:spPr>
                    <a:xfrm>
                      <a:off x="0" y="0"/>
                      <a:ext cx="3950693" cy="3950693"/>
                    </a:xfrm>
                    <a:prstGeom prst="rect">
                      <a:avLst/>
                    </a:prstGeom>
                  </pic:spPr>
                </pic:pic>
              </a:graphicData>
            </a:graphic>
          </wp:inline>
        </w:drawing>
      </w:r>
    </w:p>
    <w:p w14:paraId="1F23DD8F">
      <w:pPr>
        <w:spacing w:line="360" w:lineRule="auto"/>
        <w:jc w:val="center"/>
        <w:rPr>
          <w:rFonts w:hint="eastAsia" w:ascii="黑体" w:hAnsi="黑体" w:eastAsia="黑体" w:cs="黑体"/>
        </w:rPr>
      </w:pPr>
      <w:r>
        <w:rPr>
          <w:rFonts w:hint="eastAsia" w:ascii="仿宋" w:hAnsi="仿宋" w:eastAsia="仿宋" w:cs="仿宋"/>
          <w:b/>
          <w:bCs/>
          <w:color w:val="000000" w:themeColor="text1"/>
          <w:sz w:val="20"/>
          <w:szCs w:val="21"/>
          <w14:textFill>
            <w14:solidFill>
              <w14:schemeClr w14:val="tx1"/>
            </w14:solidFill>
          </w14:textFill>
        </w:rPr>
        <w:t>图10：智利决赛学生展示</w:t>
      </w:r>
    </w:p>
    <w:p w14:paraId="3DF772D1">
      <w:pPr>
        <w:spacing w:line="360" w:lineRule="auto"/>
        <w:jc w:val="center"/>
        <w:rPr>
          <w:rFonts w:hint="eastAsia" w:ascii="仿宋" w:hAnsi="仿宋" w:eastAsia="仿宋" w:cs="仿宋"/>
          <w:color w:val="000000" w:themeColor="text1"/>
          <w14:textFill>
            <w14:solidFill>
              <w14:schemeClr w14:val="tx1"/>
            </w14:solidFill>
          </w14:textFill>
        </w:rPr>
      </w:pPr>
    </w:p>
    <w:p w14:paraId="58FC9AC9">
      <w:pPr>
        <w:spacing w:line="360" w:lineRule="auto"/>
        <w:jc w:val="center"/>
        <w:rPr>
          <w:rFonts w:hint="eastAsia"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drawing>
          <wp:inline distT="0" distB="0" distL="0" distR="0">
            <wp:extent cx="5002530" cy="2814320"/>
            <wp:effectExtent l="0" t="0" r="7620" b="5080"/>
            <wp:docPr id="5423027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02785"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04741" cy="2815694"/>
                    </a:xfrm>
                    <a:prstGeom prst="rect">
                      <a:avLst/>
                    </a:prstGeom>
                    <a:noFill/>
                    <a:ln>
                      <a:noFill/>
                    </a:ln>
                  </pic:spPr>
                </pic:pic>
              </a:graphicData>
            </a:graphic>
          </wp:inline>
        </w:drawing>
      </w:r>
    </w:p>
    <w:p w14:paraId="6DCAE935">
      <w:pPr>
        <w:spacing w:line="360" w:lineRule="auto"/>
        <w:jc w:val="center"/>
        <w:rPr>
          <w:rFonts w:hint="eastAsia" w:ascii="黑体" w:hAnsi="黑体" w:eastAsia="黑体" w:cs="黑体"/>
        </w:rPr>
      </w:pPr>
      <w:r>
        <w:rPr>
          <w:rFonts w:hint="eastAsia" w:ascii="仿宋" w:hAnsi="仿宋" w:eastAsia="仿宋" w:cs="仿宋"/>
          <w:b/>
          <w:bCs/>
          <w:color w:val="000000" w:themeColor="text1"/>
          <w:sz w:val="20"/>
          <w:szCs w:val="21"/>
          <w14:textFill>
            <w14:solidFill>
              <w14:schemeClr w14:val="tx1"/>
            </w14:solidFill>
          </w14:textFill>
        </w:rPr>
        <w:t>图11：智利决赛圆满收官</w:t>
      </w:r>
      <w:bookmarkStart w:id="79" w:name="_Toc25023"/>
      <w:bookmarkStart w:id="80" w:name="_Toc19766"/>
      <w:bookmarkStart w:id="81" w:name="_Toc6368"/>
      <w:bookmarkStart w:id="82" w:name="_Toc6808"/>
      <w:bookmarkStart w:id="83" w:name="_Toc3637"/>
      <w:bookmarkStart w:id="84" w:name="_Toc17754"/>
      <w:bookmarkStart w:id="85" w:name="_Toc31725"/>
      <w:bookmarkStart w:id="86" w:name="_Toc14428"/>
      <w:bookmarkStart w:id="87" w:name="_Toc9913"/>
      <w:bookmarkStart w:id="88" w:name="_Toc3675"/>
      <w:bookmarkStart w:id="89" w:name="_Toc28390"/>
      <w:bookmarkStart w:id="90" w:name="_Toc23938"/>
      <w:bookmarkStart w:id="91" w:name="_Toc26065"/>
    </w:p>
    <w:p w14:paraId="1C618E71">
      <w:pPr>
        <w:rPr>
          <w:rFonts w:hint="eastAsia" w:ascii="黑体" w:hAnsi="黑体" w:eastAsia="黑体" w:cs="黑体"/>
        </w:rPr>
      </w:pPr>
      <w:r>
        <w:rPr>
          <w:rFonts w:ascii="黑体" w:hAnsi="黑体" w:eastAsia="黑体" w:cs="黑体"/>
        </w:rPr>
        <w:br w:type="page"/>
      </w:r>
    </w:p>
    <w:p w14:paraId="65A24603">
      <w:pPr>
        <w:pStyle w:val="22"/>
        <w:jc w:val="center"/>
        <w:rPr>
          <w:rFonts w:ascii="黑体" w:hAnsi="黑体" w:eastAsia="黑体" w:cs="黑体"/>
        </w:rPr>
      </w:pPr>
      <w:bookmarkStart w:id="92" w:name="_Toc3400"/>
      <w:r>
        <w:rPr>
          <w:rFonts w:ascii="黑体" w:hAnsi="黑体" w:eastAsia="黑体" w:cs="黑体"/>
        </w:rPr>
        <w:t>五、活动成效与展望</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D64CD70">
      <w:pPr>
        <w:spacing w:before="156" w:beforeLines="50" w:after="156" w:afterLines="50" w:line="360" w:lineRule="auto"/>
        <w:rPr>
          <w:rFonts w:hint="eastAsia" w:ascii="仿宋" w:hAnsi="仿宋" w:eastAsia="仿宋" w:cs="仿宋"/>
          <w:b/>
          <w:bCs/>
          <w:color w:val="000000" w:themeColor="text1"/>
          <w14:textFill>
            <w14:solidFill>
              <w14:schemeClr w14:val="tx1"/>
            </w14:solidFill>
          </w14:textFill>
        </w:rPr>
      </w:pPr>
      <w:bookmarkStart w:id="93" w:name="_Toc16749"/>
      <w:bookmarkStart w:id="94" w:name="_Toc8377"/>
      <w:bookmarkStart w:id="95" w:name="_Toc6544"/>
      <w:bookmarkStart w:id="96" w:name="_Toc14462"/>
      <w:bookmarkStart w:id="97" w:name="_Toc24778"/>
      <w:bookmarkStart w:id="98" w:name="_Toc7517"/>
      <w:bookmarkStart w:id="99" w:name="_Toc24770"/>
      <w:bookmarkStart w:id="100" w:name="_Toc18670"/>
      <w:bookmarkStart w:id="101" w:name="_Toc15021"/>
      <w:r>
        <w:rPr>
          <w:rFonts w:hint="eastAsia" w:ascii="仿宋" w:hAnsi="仿宋" w:eastAsia="仿宋" w:cs="仿宋"/>
          <w:b/>
          <w:bCs/>
          <w:color w:val="000000" w:themeColor="text1"/>
          <w14:textFill>
            <w14:solidFill>
              <w14:schemeClr w14:val="tx1"/>
            </w14:solidFill>
          </w14:textFill>
        </w:rPr>
        <w:t>1. 活动成效</w:t>
      </w:r>
      <w:bookmarkEnd w:id="93"/>
      <w:bookmarkEnd w:id="94"/>
      <w:bookmarkEnd w:id="95"/>
      <w:bookmarkEnd w:id="96"/>
      <w:bookmarkEnd w:id="97"/>
      <w:bookmarkEnd w:id="98"/>
      <w:bookmarkEnd w:id="99"/>
      <w:bookmarkEnd w:id="100"/>
      <w:bookmarkEnd w:id="101"/>
    </w:p>
    <w:p w14:paraId="5789018B">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在全球发展面临多重挑战、世界进入新的动荡变革期的背景下，青年作为推动社会进步与可持续发展的关键力量，其跨国协作与创新能力显得尤为重要。2025“减贫营”不仅延续了2024年首届活动的成功经验</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更在规模、深度和影响力上实现了新的突破</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lang w:val="en-US" w:eastAsia="zh-CN"/>
          <w14:textFill>
            <w14:solidFill>
              <w14:schemeClr w14:val="tx1"/>
            </w14:solidFill>
          </w14:textFill>
        </w:rPr>
        <w:t>具体取得成效如下：</w:t>
      </w:r>
    </w:p>
    <w:p w14:paraId="5EDD0836">
      <w:pPr>
        <w:numPr>
          <w:ilvl w:val="0"/>
          <w:numId w:val="15"/>
        </w:numPr>
        <w:spacing w:line="360" w:lineRule="auto"/>
        <w:ind w:firstLine="420"/>
        <w:rPr>
          <w:rFonts w:hint="eastAsia" w:ascii="仿宋" w:hAnsi="仿宋" w:eastAsia="仿宋" w:cs="仿宋"/>
          <w:b/>
          <w:bCs/>
          <w:color w:val="000000" w:themeColor="text1"/>
          <w:lang w:eastAsia="zh-CN"/>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创新范式：</w:t>
      </w:r>
      <w:r>
        <w:rPr>
          <w:rFonts w:hint="eastAsia" w:ascii="仿宋" w:hAnsi="仿宋" w:eastAsia="仿宋" w:cs="仿宋"/>
          <w:b/>
          <w:bCs/>
          <w:color w:val="000000" w:themeColor="text1"/>
          <w:lang w:val="en-US" w:eastAsia="zh-CN"/>
          <w14:textFill>
            <w14:solidFill>
              <w14:schemeClr w14:val="tx1"/>
            </w14:solidFill>
          </w14:textFill>
        </w:rPr>
        <w:t>深化</w:t>
      </w:r>
      <w:r>
        <w:rPr>
          <w:rFonts w:hint="eastAsia" w:ascii="仿宋" w:hAnsi="仿宋" w:eastAsia="仿宋" w:cs="仿宋"/>
          <w:b/>
          <w:bCs/>
          <w:color w:val="000000" w:themeColor="text1"/>
          <w14:textFill>
            <w14:solidFill>
              <w14:schemeClr w14:val="tx1"/>
            </w14:solidFill>
          </w14:textFill>
        </w:rPr>
        <w:t>中拉青年减贫合作新平台</w:t>
      </w:r>
    </w:p>
    <w:p w14:paraId="3B3771C3">
      <w:pPr>
        <w:numPr>
          <w:ilvl w:val="-1"/>
          <w:numId w:val="0"/>
        </w:numPr>
        <w:spacing w:line="360" w:lineRule="auto"/>
        <w:ind w:firstLine="422"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14:textFill>
            <w14:solidFill>
              <w14:schemeClr w14:val="tx1"/>
            </w14:solidFill>
          </w14:textFill>
        </w:rPr>
        <w:t>2025</w:t>
      </w: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14:textFill>
            <w14:solidFill>
              <w14:schemeClr w14:val="tx1"/>
            </w14:solidFill>
          </w14:textFill>
        </w:rPr>
        <w:t>减贫营</w:t>
      </w: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进一步深化</w:t>
      </w:r>
      <w:r>
        <w:rPr>
          <w:rFonts w:hint="eastAsia" w:ascii="仿宋" w:hAnsi="仿宋" w:eastAsia="仿宋" w:cs="仿宋"/>
          <w:b/>
          <w:bCs/>
          <w:color w:val="000000" w:themeColor="text1"/>
          <w14:textFill>
            <w14:solidFill>
              <w14:schemeClr w14:val="tx1"/>
            </w14:solidFill>
          </w14:textFill>
        </w:rPr>
        <w:t>了中拉青年减贫合作的创新范式，以跨国多赛区联动、政产学研深度融合为引擎，</w:t>
      </w:r>
      <w:r>
        <w:rPr>
          <w:rFonts w:hint="eastAsia" w:ascii="仿宋" w:hAnsi="仿宋" w:eastAsia="仿宋" w:cs="仿宋"/>
          <w:b/>
          <w:bCs/>
          <w:color w:val="000000" w:themeColor="text1"/>
          <w:lang w:val="en-US" w:eastAsia="zh-CN"/>
          <w14:textFill>
            <w14:solidFill>
              <w14:schemeClr w14:val="tx1"/>
            </w14:solidFill>
          </w14:textFill>
        </w:rPr>
        <w:t>夯实</w:t>
      </w:r>
      <w:r>
        <w:rPr>
          <w:rFonts w:hint="eastAsia" w:ascii="仿宋" w:hAnsi="仿宋" w:eastAsia="仿宋" w:cs="仿宋"/>
          <w:b/>
          <w:bCs/>
          <w:color w:val="000000" w:themeColor="text1"/>
          <w14:textFill>
            <w14:solidFill>
              <w14:schemeClr w14:val="tx1"/>
            </w14:solidFill>
          </w14:textFill>
        </w:rPr>
        <w:t>了中拉青年携手应对全球挑战的实战平台</w:t>
      </w: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这一范式的核心在于其前瞻性的顶层设计和高效的执行力，打破了地域与学科的壁垒。项目联动了中国、巴西、智利、秘鲁等多个国家的顶尖高校与机构，形成了覆盖广泛的合作网络</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本届活动吸引了来自27所高校和企业机构的共计310余名青年，组成了102支跨国团队积极参与</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这一规模本身就体现了其强大的号召力和平台效应。</w:t>
      </w:r>
    </w:p>
    <w:p w14:paraId="54F02A13">
      <w:pPr>
        <w:numPr>
          <w:ilvl w:val="0"/>
          <w:numId w:val="0"/>
        </w:numPr>
        <w:spacing w:line="360" w:lineRule="auto"/>
        <w:ind w:firstLine="422"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14:textFill>
            <w14:solidFill>
              <w14:schemeClr w14:val="tx1"/>
            </w14:solidFill>
          </w14:textFill>
        </w:rPr>
        <w:t>项目通过构建</w:t>
      </w: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14:textFill>
            <w14:solidFill>
              <w14:schemeClr w14:val="tx1"/>
            </w14:solidFill>
          </w14:textFill>
        </w:rPr>
        <w:t>赛事+课程+实践</w:t>
      </w: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14:textFill>
            <w14:solidFill>
              <w14:schemeClr w14:val="tx1"/>
            </w14:solidFill>
          </w14:textFill>
        </w:rPr>
        <w:t>三维模式，真实推动了中拉顶尖高校师生的跨文化交流。</w:t>
      </w:r>
      <w:r>
        <w:rPr>
          <w:rFonts w:hint="eastAsia" w:ascii="仿宋" w:hAnsi="仿宋" w:eastAsia="仿宋" w:cs="仿宋"/>
          <w:color w:val="000000" w:themeColor="text1"/>
          <w14:textFill>
            <w14:solidFill>
              <w14:schemeClr w14:val="tx1"/>
            </w14:solidFill>
          </w14:textFill>
        </w:rPr>
        <w:t>该模式有机地将理论学习、方案竞赛与实地调研结合起来。“课程”模块邀请了来自中拉各国的学术专家与行业领袖，为青年提供了关于减贫理论、可持续发展及区域国情的前沿知识；“赛事”模块则通过创新的竞赛机制，激发青年的创造力与团队协作精神 ；“实践”模块则安排了深入社区和企业的实地调研，让理论知识与现实问题紧密结合</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这种沉浸式的、多层次的互动模式，极大地加深了参与者的体验感和获得感。</w:t>
      </w:r>
    </w:p>
    <w:p w14:paraId="47DF961B">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14:textFill>
            <w14:solidFill>
              <w14:schemeClr w14:val="tx1"/>
            </w14:solidFill>
          </w14:textFill>
        </w:rPr>
        <w:t>项目的吸引力和价值获得了合作高校的高度认同。</w:t>
      </w:r>
      <w:r>
        <w:rPr>
          <w:rFonts w:hint="eastAsia" w:ascii="仿宋" w:hAnsi="仿宋" w:eastAsia="仿宋" w:cs="仿宋"/>
          <w:color w:val="000000" w:themeColor="text1"/>
          <w14:textFill>
            <w14:solidFill>
              <w14:schemeClr w14:val="tx1"/>
            </w14:solidFill>
          </w14:textFill>
        </w:rPr>
        <w:t>在项目的创始阶段，巴西、智利和秘鲁的高校合作伙伴都是在第一时间迅速响应了清华大学的邀请；在项目的进程中，我们也不断接到伙伴们的积极反馈，认为这是她们接触到的第一个具有如此丰富和实质性的跨文化交流内容的项目，该项目对于增加中拉的相互了解、增进彼此的信任和友谊都有着可触及、可体会的真实意义。这种来自一线参与者和组织者的真实声音，是衡量项目成效最有力的证明，表明</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减贫营</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不仅是一个学术</w:t>
      </w:r>
      <w:r>
        <w:rPr>
          <w:rFonts w:hint="eastAsia" w:ascii="仿宋" w:hAnsi="仿宋" w:eastAsia="仿宋" w:cs="仿宋"/>
          <w:color w:val="000000" w:themeColor="text1"/>
          <w:lang w:val="en-US" w:eastAsia="zh-CN"/>
          <w14:textFill>
            <w14:solidFill>
              <w14:schemeClr w14:val="tx1"/>
            </w14:solidFill>
          </w14:textFill>
        </w:rPr>
        <w:t>及赛事项目</w:t>
      </w:r>
      <w:r>
        <w:rPr>
          <w:rFonts w:hint="eastAsia" w:ascii="仿宋" w:hAnsi="仿宋" w:eastAsia="仿宋" w:cs="仿宋"/>
          <w:color w:val="000000" w:themeColor="text1"/>
          <w14:textFill>
            <w14:solidFill>
              <w14:schemeClr w14:val="tx1"/>
            </w14:solidFill>
          </w14:textFill>
        </w:rPr>
        <w:t>，更是一座连接中拉青年心灵的桥梁。</w:t>
      </w:r>
    </w:p>
    <w:p w14:paraId="6327AC42">
      <w:pPr>
        <w:spacing w:line="360" w:lineRule="auto"/>
        <w:ind w:firstLine="42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2</w:t>
      </w: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14:textFill>
            <w14:solidFill>
              <w14:schemeClr w14:val="tx1"/>
            </w14:solidFill>
          </w14:textFill>
        </w:rPr>
        <w:t>深度赋能：提升中拉青年应对全球挑战的综合能力</w:t>
      </w:r>
    </w:p>
    <w:p w14:paraId="5BFBB33C">
      <w:pPr>
        <w:spacing w:line="360" w:lineRule="auto"/>
        <w:ind w:firstLine="42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14:textFill>
            <w14:solidFill>
              <w14:schemeClr w14:val="tx1"/>
            </w14:solidFill>
          </w14:textFill>
        </w:rPr>
        <w:t>本次活动切实地增进了中拉青年合力应对全球减贫挑战的能力。</w:t>
      </w:r>
      <w:r>
        <w:rPr>
          <w:rFonts w:hint="eastAsia" w:ascii="仿宋" w:hAnsi="仿宋" w:eastAsia="仿宋" w:cs="仿宋"/>
          <w:color w:val="000000" w:themeColor="text1"/>
          <w14:textFill>
            <w14:solidFill>
              <w14:schemeClr w14:val="tx1"/>
            </w14:solidFill>
          </w14:textFill>
        </w:rPr>
        <w:t>项目的赋能体系设计精巧，旨在为青年提供系统性的知识、方法论和实践经验，实现从“认知”到“行动”的全面提升</w:t>
      </w:r>
      <w:r>
        <w:rPr>
          <w:rFonts w:hint="eastAsia" w:ascii="仿宋" w:hAnsi="仿宋" w:eastAsia="仿宋" w:cs="仿宋"/>
          <w:color w:val="000000" w:themeColor="text1"/>
          <w:lang w:eastAsia="zh-CN"/>
          <w14:textFill>
            <w14:solidFill>
              <w14:schemeClr w14:val="tx1"/>
            </w14:solidFill>
          </w14:textFill>
        </w:rPr>
        <w:t>。</w:t>
      </w:r>
    </w:p>
    <w:p w14:paraId="3C7C0B81">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14:textFill>
            <w14:solidFill>
              <w14:schemeClr w14:val="tx1"/>
            </w14:solidFill>
          </w14:textFill>
        </w:rPr>
        <w:t>赋能的核心抓手之一是方法论的创新。</w:t>
      </w:r>
      <w:r>
        <w:rPr>
          <w:rFonts w:hint="eastAsia" w:ascii="仿宋" w:hAnsi="仿宋" w:eastAsia="仿宋" w:cs="仿宋"/>
          <w:color w:val="000000" w:themeColor="text1"/>
          <w14:textFill>
            <w14:solidFill>
              <w14:schemeClr w14:val="tx1"/>
            </w14:solidFill>
          </w14:textFill>
        </w:rPr>
        <w:t>该项目创造了</w:t>
      </w:r>
      <w:r>
        <w:rPr>
          <w:rFonts w:hint="eastAsia" w:ascii="仿宋" w:hAnsi="仿宋" w:eastAsia="仿宋" w:cs="仿宋"/>
          <w:color w:val="000000" w:themeColor="text1"/>
          <w:lang w:val="en-US" w:eastAsia="zh-CN"/>
          <w14:textFill>
            <w14:solidFill>
              <w14:schemeClr w14:val="tx1"/>
            </w14:solidFill>
          </w14:textFill>
        </w:rPr>
        <w:t>清华</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5W1H+</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减贫工具箱，为参加项目的学生们提供减贫分析的方法论。 “5W1H+”工具箱（即What, When, Where, Why, Who, How）是一个创新的减贫分析框架，旨在系统性地解剖贫困状况、分析贫困成因、构建多主体网络并推动减贫策略的实施</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该工具箱不仅是理论模型，更在活动中被广泛应用，例如用于分析国网巴西公司、智利CGE集团等企业的优秀减贫案例</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引导学生们以结构化、逻辑化的方式思考复杂问题，其适用性与启发性获得了高度评价。</w:t>
      </w:r>
    </w:p>
    <w:p w14:paraId="5C3F7242">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14:textFill>
            <w14:solidFill>
              <w14:schemeClr w14:val="tx1"/>
            </w14:solidFill>
          </w14:textFill>
        </w:rPr>
        <w:t>赋能的实现路径是跨文化的深度协作。</w:t>
      </w:r>
      <w:r>
        <w:rPr>
          <w:rFonts w:hint="eastAsia" w:ascii="仿宋" w:hAnsi="仿宋" w:eastAsia="仿宋" w:cs="仿宋"/>
          <w:color w:val="000000" w:themeColor="text1"/>
          <w14:textFill>
            <w14:solidFill>
              <w14:schemeClr w14:val="tx1"/>
            </w14:solidFill>
          </w14:textFill>
        </w:rPr>
        <w:t>项目通过跨国组队的机制，推动了中拉青年的跨洋携手。这种机制强制性地要求来自不同文化背景、知识结构和语言环境的学生共同协作，在解决真实问题的过程中，他们必须学会倾听、理解、妥协与融合，这不仅锻炼了他们的跨文化沟通能力，更在潜移默化中建立了深厚的国际友谊。</w:t>
      </w:r>
    </w:p>
    <w:p w14:paraId="71D92867">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14:textFill>
            <w14:solidFill>
              <w14:schemeClr w14:val="tx1"/>
            </w14:solidFill>
          </w14:textFill>
        </w:rPr>
        <w:t>赋能的资源保障来自于</w:t>
      </w:r>
      <w:r>
        <w:rPr>
          <w:rFonts w:hint="eastAsia" w:ascii="仿宋" w:hAnsi="仿宋" w:eastAsia="仿宋" w:cs="仿宋"/>
          <w:b/>
          <w:bCs/>
          <w:color w:val="000000" w:themeColor="text1"/>
          <w:lang w:val="en-US" w:eastAsia="zh-CN"/>
          <w14:textFill>
            <w14:solidFill>
              <w14:schemeClr w14:val="tx1"/>
            </w14:solidFill>
          </w14:textFill>
        </w:rPr>
        <w:t>顶尖</w:t>
      </w:r>
      <w:r>
        <w:rPr>
          <w:rFonts w:hint="eastAsia" w:ascii="仿宋" w:hAnsi="仿宋" w:eastAsia="仿宋" w:cs="仿宋"/>
          <w:b/>
          <w:bCs/>
          <w:color w:val="000000" w:themeColor="text1"/>
          <w14:textFill>
            <w14:solidFill>
              <w14:schemeClr w14:val="tx1"/>
            </w14:solidFill>
          </w14:textFill>
        </w:rPr>
        <w:t>的智力支持。</w:t>
      </w:r>
      <w:r>
        <w:rPr>
          <w:rFonts w:hint="eastAsia" w:ascii="仿宋" w:hAnsi="仿宋" w:eastAsia="仿宋" w:cs="仿宋"/>
          <w:color w:val="000000" w:themeColor="text1"/>
          <w14:textFill>
            <w14:solidFill>
              <w14:schemeClr w14:val="tx1"/>
            </w14:solidFill>
          </w14:textFill>
        </w:rPr>
        <w:t>项目借助多国学术及业界专家的力量，以知识和实践经验赋能中拉青年。从专家讲座到</w:t>
      </w:r>
      <w:r>
        <w:rPr>
          <w:rFonts w:hint="eastAsia" w:ascii="仿宋" w:hAnsi="仿宋" w:eastAsia="仿宋" w:cs="仿宋"/>
          <w:color w:val="000000" w:themeColor="text1"/>
          <w:lang w:val="en-US" w:eastAsia="zh-CN"/>
          <w14:textFill>
            <w14:solidFill>
              <w14:schemeClr w14:val="tx1"/>
            </w14:solidFill>
          </w14:textFill>
        </w:rPr>
        <w:t>线上线下联动辅导</w:t>
      </w:r>
      <w:r>
        <w:rPr>
          <w:rFonts w:hint="eastAsia" w:ascii="仿宋" w:hAnsi="仿宋" w:eastAsia="仿宋" w:cs="仿宋"/>
          <w:color w:val="000000" w:themeColor="text1"/>
          <w14:textFill>
            <w14:solidFill>
              <w14:schemeClr w14:val="tx1"/>
            </w14:solidFill>
          </w14:textFill>
        </w:rPr>
        <w:t>，从方案指导到</w:t>
      </w:r>
      <w:r>
        <w:rPr>
          <w:rFonts w:hint="eastAsia" w:ascii="仿宋" w:hAnsi="仿宋" w:eastAsia="仿宋" w:cs="仿宋"/>
          <w:color w:val="000000" w:themeColor="text1"/>
          <w:lang w:val="en-US" w:eastAsia="zh-CN"/>
          <w14:textFill>
            <w14:solidFill>
              <w14:schemeClr w14:val="tx1"/>
            </w14:solidFill>
          </w14:textFill>
        </w:rPr>
        <w:t>现场评选与点评</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整个项目周期都贯穿着高水平的智力输入，确保了青年们在探索减贫方案时能够站上“巨人的肩膀”，视野更开阔，思考更深入。</w:t>
      </w:r>
    </w:p>
    <w:p w14:paraId="0CDFAE5C">
      <w:pPr>
        <w:spacing w:line="360" w:lineRule="auto"/>
        <w:ind w:firstLine="42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3</w:t>
      </w: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14:textFill>
            <w14:solidFill>
              <w14:schemeClr w14:val="tx1"/>
            </w14:solidFill>
          </w14:textFill>
        </w:rPr>
        <w:t>务实产出：推动减贫经验互鉴与方案本土化落地</w:t>
      </w:r>
    </w:p>
    <w:p w14:paraId="083E5760">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2025</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减贫营</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不仅是一个交流平台，更是一个注重实际产出的孵化器。活动的成效最终体现在其催生的一批高质量、具有可行性的减贫解决方案上。</w:t>
      </w:r>
    </w:p>
    <w:p w14:paraId="6E611131">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14:textFill>
            <w14:solidFill>
              <w14:schemeClr w14:val="tx1"/>
            </w14:solidFill>
          </w14:textFill>
        </w:rPr>
        <w:t>从项目产出的减贫方案中，可以清晰地体会到中拉减贫经验的互学互鉴的成果以及深耕本土化的现实努力，彰显了中拉青年在减贫合作方面的创新力量。</w:t>
      </w:r>
      <w:r>
        <w:rPr>
          <w:rFonts w:hint="eastAsia" w:ascii="仿宋" w:hAnsi="仿宋" w:eastAsia="仿宋" w:cs="仿宋"/>
          <w:color w:val="000000" w:themeColor="text1"/>
          <w14:textFill>
            <w14:solidFill>
              <w14:schemeClr w14:val="tx1"/>
            </w14:solidFill>
          </w14:textFill>
        </w:rPr>
        <w:t>中方青年将中国在数字普惠金融、电商扶贫、产业扶贫等领域的成功经验与拉美国家的具体国情相结合；而拉美青年则带来了他们在社区治理、环境保护、社会企业等方面的独特视角</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例如，有团队借鉴中国“精准扶贫”的理念，为秘鲁安第斯山区的社区设计了基于本地特色农产品的可持续生计方案；也有团队将智利的社区能源项目经验，应用于中国乡村的能源转型探索中。这些方案普遍具有深刻的洞察力和极强的可操作性。</w:t>
      </w:r>
    </w:p>
    <w:p w14:paraId="577A1C44">
      <w:pPr>
        <w:spacing w:line="360" w:lineRule="auto"/>
        <w:ind w:firstLine="42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纸上得来终觉浅，绝知此事要躬行</w:t>
      </w:r>
      <w:r>
        <w:rPr>
          <w:rFonts w:hint="eastAsia" w:ascii="仿宋" w:hAnsi="仿宋" w:eastAsia="仿宋" w:cs="仿宋"/>
          <w:b/>
          <w:bCs/>
          <w:color w:val="000000" w:themeColor="text1"/>
          <w14:textFill>
            <w14:solidFill>
              <w14:schemeClr w14:val="tx1"/>
            </w14:solidFill>
          </w14:textFill>
        </w:rPr>
        <w:t>，这些方案并非停留在纸面。</w:t>
      </w:r>
      <w:r>
        <w:rPr>
          <w:rFonts w:hint="eastAsia" w:ascii="仿宋" w:hAnsi="仿宋" w:eastAsia="仿宋" w:cs="仿宋"/>
          <w:color w:val="000000" w:themeColor="text1"/>
          <w14:textFill>
            <w14:solidFill>
              <w14:schemeClr w14:val="tx1"/>
            </w14:solidFill>
          </w14:textFill>
        </w:rPr>
        <w:t>部分优秀的参赛方案已经获得了</w:t>
      </w:r>
      <w:r>
        <w:rPr>
          <w:rFonts w:hint="eastAsia" w:ascii="仿宋" w:hAnsi="仿宋" w:eastAsia="仿宋" w:cs="仿宋"/>
          <w:color w:val="000000" w:themeColor="text1"/>
          <w:lang w:val="en-US" w:eastAsia="zh-CN"/>
          <w14:textFill>
            <w14:solidFill>
              <w14:schemeClr w14:val="tx1"/>
            </w14:solidFill>
          </w14:textFill>
        </w:rPr>
        <w:t>相关机构</w:t>
      </w:r>
      <w:r>
        <w:rPr>
          <w:rFonts w:hint="eastAsia" w:ascii="仿宋" w:hAnsi="仿宋" w:eastAsia="仿宋" w:cs="仿宋"/>
          <w:color w:val="000000" w:themeColor="text1"/>
          <w14:textFill>
            <w14:solidFill>
              <w14:schemeClr w14:val="tx1"/>
            </w14:solidFill>
          </w14:textFill>
        </w:rPr>
        <w:t>的关注，正在探讨落地的可能性。例如，一些聚焦于</w:t>
      </w:r>
      <w:r>
        <w:rPr>
          <w:rFonts w:hint="eastAsia" w:ascii="仿宋" w:hAnsi="仿宋" w:eastAsia="仿宋" w:cs="仿宋"/>
          <w:color w:val="000000" w:themeColor="text1"/>
          <w:lang w:val="en-US" w:eastAsia="zh-CN"/>
          <w14:textFill>
            <w14:solidFill>
              <w14:schemeClr w14:val="tx1"/>
            </w14:solidFill>
          </w14:textFill>
        </w:rPr>
        <w:t>在线教育、</w:t>
      </w:r>
      <w:r>
        <w:rPr>
          <w:rFonts w:hint="eastAsia" w:ascii="仿宋" w:hAnsi="仿宋" w:eastAsia="仿宋" w:cs="仿宋"/>
          <w:color w:val="000000" w:themeColor="text1"/>
          <w14:textFill>
            <w14:solidFill>
              <w14:schemeClr w14:val="tx1"/>
            </w14:solidFill>
          </w14:textFill>
        </w:rPr>
        <w:t>清洁能源、数字教育和女性赋权的方案，已经</w:t>
      </w:r>
      <w:r>
        <w:rPr>
          <w:rFonts w:hint="eastAsia" w:ascii="仿宋" w:hAnsi="仿宋" w:eastAsia="仿宋" w:cs="仿宋"/>
          <w:color w:val="000000" w:themeColor="text1"/>
          <w:lang w:val="en-US" w:eastAsia="zh-CN"/>
          <w14:textFill>
            <w14:solidFill>
              <w14:schemeClr w14:val="tx1"/>
            </w14:solidFill>
          </w14:textFill>
        </w:rPr>
        <w:t>与相关企业及清华大学拉美中心</w:t>
      </w:r>
      <w:r>
        <w:rPr>
          <w:rFonts w:hint="eastAsia" w:ascii="仿宋" w:hAnsi="仿宋" w:eastAsia="仿宋" w:cs="仿宋"/>
          <w:color w:val="000000" w:themeColor="text1"/>
          <w14:textFill>
            <w14:solidFill>
              <w14:schemeClr w14:val="tx1"/>
            </w14:solidFill>
          </w14:textFill>
        </w:rPr>
        <w:t>产生了对接</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这标志着减贫营的成果</w:t>
      </w:r>
      <w:r>
        <w:rPr>
          <w:rFonts w:hint="eastAsia" w:ascii="仿宋" w:hAnsi="仿宋" w:eastAsia="仿宋" w:cs="仿宋"/>
          <w:color w:val="000000" w:themeColor="text1"/>
          <w:lang w:val="en-US" w:eastAsia="zh-CN"/>
          <w14:textFill>
            <w14:solidFill>
              <w14:schemeClr w14:val="tx1"/>
            </w14:solidFill>
          </w14:textFill>
        </w:rPr>
        <w:t>有望</w:t>
      </w:r>
      <w:r>
        <w:rPr>
          <w:rFonts w:hint="eastAsia" w:ascii="仿宋" w:hAnsi="仿宋" w:eastAsia="仿宋" w:cs="仿宋"/>
          <w:color w:val="000000" w:themeColor="text1"/>
          <w14:textFill>
            <w14:solidFill>
              <w14:schemeClr w14:val="tx1"/>
            </w14:solidFill>
          </w14:textFill>
        </w:rPr>
        <w:t>从“方案”向“行动”转化，</w:t>
      </w:r>
      <w:r>
        <w:rPr>
          <w:rFonts w:hint="eastAsia" w:ascii="仿宋" w:hAnsi="仿宋" w:eastAsia="仿宋" w:cs="仿宋"/>
          <w:color w:val="000000" w:themeColor="text1"/>
          <w:lang w:val="en-US" w:eastAsia="zh-CN"/>
          <w14:textFill>
            <w14:solidFill>
              <w14:schemeClr w14:val="tx1"/>
            </w14:solidFill>
          </w14:textFill>
        </w:rPr>
        <w:t>能够有机会进一步打破壁垒，</w:t>
      </w:r>
      <w:r>
        <w:rPr>
          <w:rFonts w:hint="eastAsia" w:ascii="仿宋" w:hAnsi="仿宋" w:eastAsia="仿宋" w:cs="仿宋"/>
          <w:color w:val="000000" w:themeColor="text1"/>
          <w14:textFill>
            <w14:solidFill>
              <w14:schemeClr w14:val="tx1"/>
            </w14:solidFill>
          </w14:textFill>
        </w:rPr>
        <w:t>对当地社区产生真实而积极的影响</w:t>
      </w:r>
      <w:r>
        <w:rPr>
          <w:rFonts w:hint="eastAsia" w:ascii="仿宋" w:hAnsi="仿宋" w:eastAsia="仿宋" w:cs="仿宋"/>
          <w:color w:val="000000" w:themeColor="text1"/>
          <w:lang w:eastAsia="zh-CN"/>
          <w14:textFill>
            <w14:solidFill>
              <w14:schemeClr w14:val="tx1"/>
            </w14:solidFill>
          </w14:textFill>
        </w:rPr>
        <w:t>。</w:t>
      </w:r>
    </w:p>
    <w:p w14:paraId="08D12CC5">
      <w:pPr>
        <w:spacing w:line="360" w:lineRule="auto"/>
        <w:ind w:firstLine="420"/>
        <w:rPr>
          <w:rFonts w:hint="eastAsia" w:ascii="仿宋" w:hAnsi="仿宋" w:eastAsia="仿宋" w:cs="仿宋"/>
          <w:b/>
          <w:bCs/>
          <w:color w:val="000000" w:themeColor="text1"/>
          <w:lang w:eastAsia="zh-CN"/>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4</w:t>
      </w:r>
      <w:r>
        <w:rPr>
          <w:rFonts w:hint="eastAsia" w:ascii="仿宋" w:hAnsi="仿宋" w:eastAsia="仿宋" w:cs="仿宋"/>
          <w:b/>
          <w:bCs/>
          <w:color w:val="000000" w:themeColor="text1"/>
          <w:lang w:eastAsia="zh-CN"/>
          <w14:textFill>
            <w14:solidFill>
              <w14:schemeClr w14:val="tx1"/>
            </w14:solidFill>
          </w14:textFill>
        </w:rPr>
        <w:t>）广泛协作：汇聚政产学研各界力量共促可持续发展</w:t>
      </w:r>
    </w:p>
    <w:p w14:paraId="0CA80FE8">
      <w:pPr>
        <w:spacing w:line="360" w:lineRule="auto"/>
        <w:ind w:firstLine="42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一个项目的成功与否，很大程度上取决于其能否构建一个可持续的、多方共赢的生态系统。2025“减贫营”在这方面取得了</w:t>
      </w:r>
      <w:r>
        <w:rPr>
          <w:rFonts w:hint="eastAsia" w:ascii="仿宋" w:hAnsi="仿宋" w:eastAsia="仿宋" w:cs="仿宋"/>
          <w:color w:val="000000" w:themeColor="text1"/>
          <w:lang w:val="en-US" w:eastAsia="zh-CN"/>
          <w14:textFill>
            <w14:solidFill>
              <w14:schemeClr w14:val="tx1"/>
            </w14:solidFill>
          </w14:textFill>
        </w:rPr>
        <w:t>突破</w:t>
      </w:r>
      <w:r>
        <w:rPr>
          <w:rFonts w:hint="eastAsia" w:ascii="仿宋" w:hAnsi="仿宋" w:eastAsia="仿宋" w:cs="仿宋"/>
          <w:color w:val="000000" w:themeColor="text1"/>
          <w:lang w:eastAsia="zh-CN"/>
          <w14:textFill>
            <w14:solidFill>
              <w14:schemeClr w14:val="tx1"/>
            </w14:solidFill>
          </w14:textFill>
        </w:rPr>
        <w:t>。</w:t>
      </w:r>
    </w:p>
    <w:p w14:paraId="7364EE12">
      <w:pPr>
        <w:spacing w:line="360" w:lineRule="auto"/>
        <w:ind w:firstLine="42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lang w:eastAsia="zh-CN"/>
          <w14:textFill>
            <w14:solidFill>
              <w14:schemeClr w14:val="tx1"/>
            </w14:solidFill>
          </w14:textFill>
        </w:rPr>
        <w:t>该项目的实施受到了来自政企学各界的广泛关注，也赢得了各界的支持与认可，并且得到了多方机构的协作机会</w:t>
      </w:r>
      <w:r>
        <w:rPr>
          <w:rFonts w:hint="eastAsia" w:ascii="仿宋" w:hAnsi="仿宋" w:eastAsia="仿宋" w:cs="仿宋"/>
          <w:color w:val="000000" w:themeColor="text1"/>
          <w:lang w:eastAsia="zh-CN"/>
          <w14:textFill>
            <w14:solidFill>
              <w14:schemeClr w14:val="tx1"/>
            </w14:solidFill>
          </w14:textFill>
        </w:rPr>
        <w:t>。这种广泛的协作网络是项目得以顺利实施并不断扩大影响力的基石。远景科技集团、智利CGE集团、</w:t>
      </w:r>
      <w:r>
        <w:rPr>
          <w:rFonts w:hint="eastAsia" w:ascii="仿宋" w:hAnsi="仿宋" w:eastAsia="仿宋" w:cs="仿宋"/>
          <w:color w:val="000000" w:themeColor="text1"/>
          <w:lang w:val="en-US" w:eastAsia="zh-CN"/>
          <w14:textFill>
            <w14:solidFill>
              <w14:schemeClr w14:val="tx1"/>
            </w14:solidFill>
          </w14:textFill>
        </w:rPr>
        <w:t>五矿秘鲁邦巴斯</w:t>
      </w:r>
      <w:r>
        <w:rPr>
          <w:rFonts w:hint="eastAsia" w:ascii="仿宋" w:hAnsi="仿宋" w:eastAsia="仿宋" w:cs="仿宋"/>
          <w:color w:val="000000" w:themeColor="text1"/>
          <w:lang w:eastAsia="zh-CN"/>
          <w14:textFill>
            <w14:solidFill>
              <w14:schemeClr w14:val="tx1"/>
            </w14:solidFill>
          </w14:textFill>
        </w:rPr>
        <w:t>等知名企业为项目慷慨捐资，</w:t>
      </w:r>
      <w:r>
        <w:rPr>
          <w:rFonts w:hint="eastAsia" w:ascii="仿宋" w:hAnsi="仿宋" w:eastAsia="仿宋" w:cs="仿宋"/>
          <w:color w:val="000000" w:themeColor="text1"/>
          <w:lang w:val="en-US" w:eastAsia="zh-CN"/>
          <w14:textFill>
            <w14:solidFill>
              <w14:schemeClr w14:val="tx1"/>
            </w14:solidFill>
          </w14:textFill>
        </w:rPr>
        <w:t>并提供宝贵的青年项目选题与辅导等相关方面支持。五矿秘鲁邦巴斯</w:t>
      </w:r>
      <w:r>
        <w:rPr>
          <w:rFonts w:hint="eastAsia" w:ascii="仿宋" w:hAnsi="仿宋" w:eastAsia="仿宋" w:cs="仿宋"/>
          <w:color w:val="000000" w:themeColor="text1"/>
          <w:lang w:eastAsia="zh-CN"/>
          <w14:textFill>
            <w14:solidFill>
              <w14:schemeClr w14:val="tx1"/>
            </w14:solidFill>
          </w14:textFill>
        </w:rPr>
        <w:t>、CGE中海油、智利社会团结基金（FOSIS）等机构为项目提供了鲜活的调研机会，让学生们能够接触到最真实的减贫一线场景；在政策与外交支持方面，中国驻巴西大使馆、中国驻里约热内卢总领事馆、巴西驻中国大使馆、中国驻智利大使馆、智利驻中国大使馆、中国驻秘鲁大使馆都成为了项目的坚定支持机构，为活动的开展提供了高级别的指导与保障。这种政、产、学、研的深度融合，不仅为项目本身注入了强大的生命力，也向外界传递了一个强烈的信号：这充分体现了“减贫”是世界可持续发展的最重要的议题，是习近平主席提出的构建人类命运共同体理念和全球发展倡议的生动实践与重要落实。</w:t>
      </w:r>
    </w:p>
    <w:p w14:paraId="5C1CBE12">
      <w:pPr>
        <w:spacing w:line="360" w:lineRule="auto"/>
        <w:ind w:firstLine="420"/>
        <w:rPr>
          <w:rFonts w:hint="eastAsia" w:ascii="仿宋" w:hAnsi="仿宋" w:eastAsia="仿宋" w:cs="仿宋"/>
          <w:b/>
          <w:bCs/>
          <w:color w:val="000000" w:themeColor="text1"/>
          <w:lang w:eastAsia="zh-CN"/>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5</w:t>
      </w:r>
      <w:r>
        <w:rPr>
          <w:rFonts w:hint="eastAsia" w:ascii="仿宋" w:hAnsi="仿宋" w:eastAsia="仿宋" w:cs="仿宋"/>
          <w:b/>
          <w:bCs/>
          <w:color w:val="000000" w:themeColor="text1"/>
          <w:lang w:eastAsia="zh-CN"/>
          <w14:textFill>
            <w14:solidFill>
              <w14:schemeClr w14:val="tx1"/>
            </w14:solidFill>
          </w14:textFill>
        </w:rPr>
        <w:t>）深远意义：在全球变局中彰显合作共赢的时代价值</w:t>
      </w:r>
    </w:p>
    <w:p w14:paraId="671D3C0F">
      <w:pPr>
        <w:spacing w:line="360" w:lineRule="auto"/>
        <w:ind w:firstLine="42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lang w:eastAsia="zh-CN"/>
          <w14:textFill>
            <w14:solidFill>
              <w14:schemeClr w14:val="tx1"/>
            </w14:solidFill>
          </w14:textFill>
        </w:rPr>
        <w:t>当今世界变乱交织，但该项目的成功实施，例证了“合作共赢”仍然是世界人民的深切渴望，是中国引领世界奔向人类命运共同体美好未来的努力和实践方向。</w:t>
      </w:r>
      <w:r>
        <w:rPr>
          <w:rFonts w:hint="eastAsia" w:ascii="仿宋" w:hAnsi="仿宋" w:eastAsia="仿宋" w:cs="仿宋"/>
          <w:color w:val="000000" w:themeColor="text1"/>
          <w:lang w:eastAsia="zh-CN"/>
          <w14:textFill>
            <w14:solidFill>
              <w14:schemeClr w14:val="tx1"/>
            </w14:solidFill>
          </w14:textFill>
        </w:rPr>
        <w:t>2025“减贫营”超越了一个单纯的青年活动，它在全球</w:t>
      </w:r>
      <w:r>
        <w:rPr>
          <w:rFonts w:hint="eastAsia" w:ascii="仿宋" w:hAnsi="仿宋" w:eastAsia="仿宋" w:cs="仿宋"/>
          <w:color w:val="000000" w:themeColor="text1"/>
          <w:lang w:val="en-US" w:eastAsia="zh-CN"/>
          <w14:textFill>
            <w14:solidFill>
              <w14:schemeClr w14:val="tx1"/>
            </w14:solidFill>
          </w14:textFill>
        </w:rPr>
        <w:t>变局中</w:t>
      </w:r>
      <w:r>
        <w:rPr>
          <w:rFonts w:hint="eastAsia" w:ascii="仿宋" w:hAnsi="仿宋" w:eastAsia="仿宋" w:cs="仿宋"/>
          <w:color w:val="000000" w:themeColor="text1"/>
          <w:lang w:eastAsia="zh-CN"/>
          <w14:textFill>
            <w14:solidFill>
              <w14:schemeClr w14:val="tx1"/>
            </w14:solidFill>
          </w14:textFill>
        </w:rPr>
        <w:t>开辟了一片以青年为主体、以发展为目标的合作绿洲。“2025减贫营”活动吸引了国内外媒体的广泛关注。新华社、CGTN、人民网、环球网、《环球时报》新闻、央视网、中国青年报、中国网、京报网、腾讯网、新浪新闻、搜狐网、网易、凤凰新闻、中国日报网、今日头条、《The Globe and Mail》、Barchart等国内外近50家主流媒体发布超过61篇报道，以及近500家外媒的转载报道，积极展现了“2025减贫营”在促进中拉青年交流互鉴、推动减贫创新实践以及深化跨文化合作方面的重要价值与影响力。</w:t>
      </w:r>
    </w:p>
    <w:p w14:paraId="717D3327">
      <w:pPr>
        <w:spacing w:line="360" w:lineRule="auto"/>
        <w:ind w:firstLine="42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w:t>
      </w:r>
      <w:r>
        <w:rPr>
          <w:rFonts w:hint="eastAsia" w:ascii="仿宋" w:hAnsi="仿宋" w:eastAsia="仿宋" w:cs="仿宋"/>
          <w:b/>
          <w:bCs/>
          <w:color w:val="000000" w:themeColor="text1"/>
          <w:lang w:val="en-US" w:eastAsia="zh-CN"/>
          <w14:textFill>
            <w14:solidFill>
              <w14:schemeClr w14:val="tx1"/>
            </w14:solidFill>
          </w14:textFill>
        </w:rPr>
        <w:t xml:space="preserve"> </w:t>
      </w:r>
      <w:r>
        <w:rPr>
          <w:rFonts w:hint="eastAsia" w:ascii="仿宋" w:hAnsi="仿宋" w:eastAsia="仿宋" w:cs="仿宋"/>
          <w:b/>
          <w:bCs/>
          <w:color w:val="000000" w:themeColor="text1"/>
          <w:lang w:eastAsia="zh-CN"/>
          <w14:textFill>
            <w14:solidFill>
              <w14:schemeClr w14:val="tx1"/>
            </w14:solidFill>
          </w14:textFill>
        </w:rPr>
        <w:t>通过赋能中拉青年，项目实质上是在为全球治理的未来培养新生力量。</w:t>
      </w:r>
      <w:r>
        <w:rPr>
          <w:rFonts w:hint="eastAsia" w:ascii="仿宋" w:hAnsi="仿宋" w:eastAsia="仿宋" w:cs="仿宋"/>
          <w:color w:val="000000" w:themeColor="text1"/>
          <w:lang w:eastAsia="zh-CN"/>
          <w14:textFill>
            <w14:solidFill>
              <w14:schemeClr w14:val="tx1"/>
            </w14:solidFill>
          </w14:textFill>
        </w:rPr>
        <w:t>这些青年在活动中建立的互信与友谊，以及他们共同探索解决方案的宝贵经历，将成为未来深化中拉乃至全球合作的坚实民意基础和人才储备。项目计划从减贫议题逐步扩展到更广泛的可持续发展领域，这预示着其作为一个长期性、机制化平台的巨大潜力。</w:t>
      </w:r>
    </w:p>
    <w:p w14:paraId="19A33B8D">
      <w:pPr>
        <w:spacing w:line="360" w:lineRule="auto"/>
        <w:ind w:firstLine="420"/>
        <w:rPr>
          <w:rFonts w:hint="eastAsia" w:ascii="仿宋" w:hAnsi="仿宋" w:eastAsia="仿宋" w:cs="仿宋"/>
          <w:color w:val="000000" w:themeColor="text1"/>
          <w:lang w:eastAsia="zh-CN"/>
          <w14:textFill>
            <w14:solidFill>
              <w14:schemeClr w14:val="tx1"/>
            </w14:solidFill>
          </w14:textFill>
        </w:rPr>
      </w:pPr>
    </w:p>
    <w:p w14:paraId="7EEAE5E9">
      <w:pPr>
        <w:spacing w:line="360" w:lineRule="auto"/>
        <w:ind w:firstLine="42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综上所述，2025“减贫营”在模式创新、人才培养、务实产出和生态构建等方面均取得了</w:t>
      </w:r>
      <w:r>
        <w:rPr>
          <w:rFonts w:hint="eastAsia" w:ascii="仿宋" w:hAnsi="仿宋" w:eastAsia="仿宋" w:cs="仿宋"/>
          <w:b/>
          <w:bCs/>
          <w:color w:val="000000" w:themeColor="text1"/>
          <w:lang w:val="en-US" w:eastAsia="zh-CN"/>
          <w14:textFill>
            <w14:solidFill>
              <w14:schemeClr w14:val="tx1"/>
            </w14:solidFill>
          </w14:textFill>
        </w:rPr>
        <w:t>积极</w:t>
      </w:r>
      <w:r>
        <w:rPr>
          <w:rFonts w:hint="eastAsia" w:ascii="仿宋" w:hAnsi="仿宋" w:eastAsia="仿宋" w:cs="仿宋"/>
          <w:b/>
          <w:bCs/>
          <w:color w:val="000000" w:themeColor="text1"/>
          <w:lang w:eastAsia="zh-CN"/>
          <w14:textFill>
            <w14:solidFill>
              <w14:schemeClr w14:val="tx1"/>
            </w14:solidFill>
          </w14:textFill>
        </w:rPr>
        <w:t>成效。它不仅是一次成功</w:t>
      </w:r>
      <w:r>
        <w:rPr>
          <w:rFonts w:hint="eastAsia" w:ascii="仿宋" w:hAnsi="仿宋" w:eastAsia="仿宋" w:cs="仿宋"/>
          <w:b/>
          <w:bCs/>
          <w:color w:val="000000" w:themeColor="text1"/>
          <w:lang w:val="en-US" w:eastAsia="zh-CN"/>
          <w14:textFill>
            <w14:solidFill>
              <w14:schemeClr w14:val="tx1"/>
            </w14:solidFill>
          </w14:textFill>
        </w:rPr>
        <w:t>的中拉以高校为核心、辐射政产研各界的文化项目</w:t>
      </w:r>
      <w:r>
        <w:rPr>
          <w:rFonts w:hint="eastAsia" w:ascii="仿宋" w:hAnsi="仿宋" w:eastAsia="仿宋" w:cs="仿宋"/>
          <w:b/>
          <w:bCs/>
          <w:color w:val="000000" w:themeColor="text1"/>
          <w:lang w:eastAsia="zh-CN"/>
          <w14:textFill>
            <w14:solidFill>
              <w14:schemeClr w14:val="tx1"/>
            </w14:solidFill>
          </w14:textFill>
        </w:rPr>
        <w:t>，更是中拉深化合作、携手应对全球挑战、共同迈向美好未来的一个生动缩影和有力证明。</w:t>
      </w:r>
    </w:p>
    <w:p w14:paraId="30B67925">
      <w:pPr>
        <w:spacing w:line="360" w:lineRule="auto"/>
        <w:rPr>
          <w:rFonts w:hint="eastAsia" w:ascii="仿宋" w:hAnsi="仿宋" w:eastAsia="仿宋" w:cs="仿宋"/>
          <w:b/>
          <w:bCs/>
          <w:color w:val="000000" w:themeColor="text1"/>
          <w14:textFill>
            <w14:solidFill>
              <w14:schemeClr w14:val="tx1"/>
            </w14:solidFill>
          </w14:textFill>
        </w:rPr>
      </w:pPr>
      <w:bookmarkStart w:id="102" w:name="_Toc4713"/>
      <w:bookmarkStart w:id="103" w:name="_Toc7477"/>
      <w:bookmarkStart w:id="104" w:name="_Toc4824"/>
      <w:bookmarkStart w:id="105" w:name="_Toc14681"/>
      <w:bookmarkStart w:id="106" w:name="_Toc22345"/>
      <w:bookmarkStart w:id="107" w:name="_Toc18709"/>
      <w:bookmarkStart w:id="108" w:name="_Toc7508"/>
      <w:bookmarkStart w:id="109" w:name="_Toc31573"/>
      <w:bookmarkStart w:id="110" w:name="_Toc24840"/>
    </w:p>
    <w:p w14:paraId="6352593B">
      <w:pPr>
        <w:spacing w:line="360" w:lineRule="auto"/>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 活动展望</w:t>
      </w:r>
      <w:bookmarkEnd w:id="102"/>
      <w:bookmarkEnd w:id="103"/>
      <w:bookmarkEnd w:id="104"/>
      <w:bookmarkEnd w:id="105"/>
      <w:bookmarkEnd w:id="106"/>
      <w:bookmarkEnd w:id="107"/>
      <w:bookmarkEnd w:id="108"/>
      <w:bookmarkEnd w:id="109"/>
      <w:bookmarkEnd w:id="110"/>
    </w:p>
    <w:p w14:paraId="69360FA3">
      <w:pPr>
        <w:numPr>
          <w:ilvl w:val="255"/>
          <w:numId w:val="0"/>
        </w:numPr>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“2025减贫营”虽然主体活动已经结束，但本年度推动工作仍在继续，“2026减贫营”正紧锣密鼓地开展</w:t>
      </w:r>
      <w:r>
        <w:rPr>
          <w:rFonts w:hint="eastAsia" w:ascii="仿宋" w:hAnsi="仿宋" w:eastAsia="仿宋" w:cs="仿宋"/>
          <w:b/>
          <w:bCs/>
          <w:color w:val="000000" w:themeColor="text1"/>
          <w14:textFill>
            <w14:solidFill>
              <w14:schemeClr w14:val="tx1"/>
            </w14:solidFill>
          </w14:textFill>
        </w:rPr>
        <w:t>中拉减贫最佳案例探索、减贫营基地建设、学术论坛、吸引赞助支持学生跨国交换、赛制优化</w:t>
      </w:r>
      <w:r>
        <w:rPr>
          <w:rFonts w:hint="eastAsia" w:ascii="仿宋" w:hAnsi="仿宋" w:eastAsia="仿宋" w:cs="仿宋"/>
          <w:color w:val="000000" w:themeColor="text1"/>
          <w14:textFill>
            <w14:solidFill>
              <w14:schemeClr w14:val="tx1"/>
            </w14:solidFill>
          </w14:textFill>
        </w:rPr>
        <w:t>等多方面工作。</w:t>
      </w:r>
    </w:p>
    <w:p w14:paraId="5A02CCEF">
      <w:pPr>
        <w:numPr>
          <w:ilvl w:val="255"/>
          <w:numId w:val="0"/>
        </w:numPr>
        <w:spacing w:line="360" w:lineRule="auto"/>
        <w:ind w:firstLine="420" w:firstLineChars="2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此次活动在激励方面为青年学子提供宝贵的跨国交流机会，在</w:t>
      </w:r>
      <w:r>
        <w:rPr>
          <w:rFonts w:hint="eastAsia" w:ascii="仿宋" w:hAnsi="仿宋" w:eastAsia="仿宋" w:cs="仿宋"/>
          <w:b/>
          <w:bCs/>
          <w:color w:val="000000" w:themeColor="text1"/>
          <w14:textFill>
            <w14:solidFill>
              <w14:schemeClr w14:val="tx1"/>
            </w14:solidFill>
          </w14:textFill>
        </w:rPr>
        <w:t>清华大学拉美中心及各赞助方企业的资金支持下</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bCs/>
          <w:color w:val="000000" w:themeColor="text1"/>
          <w14:textFill>
            <w14:solidFill>
              <w14:schemeClr w14:val="tx1"/>
            </w14:solidFill>
          </w14:textFill>
        </w:rPr>
        <w:t>清华大学的24名学生已于本年度8月份赴智利、巴西参加决赛；拉美高校晋级决赛的</w:t>
      </w:r>
      <w:bookmarkStart w:id="111" w:name="_Hlk176706802"/>
      <w:r>
        <w:rPr>
          <w:rFonts w:hint="eastAsia" w:ascii="仿宋" w:hAnsi="仿宋" w:eastAsia="仿宋" w:cs="仿宋"/>
          <w:b/>
          <w:bCs/>
          <w:color w:val="000000" w:themeColor="text1"/>
          <w14:textFill>
            <w14:solidFill>
              <w14:schemeClr w14:val="tx1"/>
            </w14:solidFill>
          </w14:textFill>
        </w:rPr>
        <w:t>32名学</w:t>
      </w:r>
      <w:bookmarkEnd w:id="111"/>
      <w:r>
        <w:rPr>
          <w:rFonts w:hint="eastAsia" w:ascii="仿宋" w:hAnsi="仿宋" w:eastAsia="仿宋" w:cs="仿宋"/>
          <w:b/>
          <w:bCs/>
          <w:color w:val="000000" w:themeColor="text1"/>
          <w14:textFill>
            <w14:solidFill>
              <w14:schemeClr w14:val="tx1"/>
            </w14:solidFill>
          </w14:textFill>
        </w:rPr>
        <w:t>生，将于2026年1月份来华参与文化浸润。</w:t>
      </w:r>
    </w:p>
    <w:p w14:paraId="387CDC2B">
      <w:pPr>
        <w:spacing w:line="360" w:lineRule="auto"/>
        <w:ind w:firstLine="422" w:firstLineChars="200"/>
        <w:rPr>
          <w:rFonts w:hint="eastAsia" w:ascii="仿宋" w:hAnsi="仿宋" w:eastAsia="仿宋" w:cs="仿宋"/>
          <w:b/>
          <w:bCs/>
          <w:color w:val="000000" w:themeColor="text1"/>
          <w14:textFill>
            <w14:solidFill>
              <w14:schemeClr w14:val="tx1"/>
            </w14:solidFill>
          </w14:textFill>
        </w:rPr>
      </w:pPr>
    </w:p>
    <w:p w14:paraId="29173451">
      <w:pPr>
        <w:spacing w:line="360" w:lineRule="auto"/>
        <w:ind w:firstLine="422" w:firstLineChars="200"/>
        <w:rPr>
          <w:rFonts w:hint="eastAsia" w:ascii="仿宋" w:hAnsi="仿宋" w:eastAsia="仿宋" w:cs="仿宋"/>
          <w:b/>
          <w:bCs/>
          <w:color w:val="000000" w:themeColor="text1"/>
          <w14:textFill>
            <w14:solidFill>
              <w14:schemeClr w14:val="tx1"/>
            </w14:solidFill>
          </w14:textFill>
        </w:rPr>
      </w:pPr>
    </w:p>
    <w:p w14:paraId="7A3EC0F8">
      <w:pPr>
        <w:spacing w:line="360" w:lineRule="auto"/>
        <w:ind w:firstLine="422"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面向未来，清华大学将与拉美高校伙伴一起共同高质量地持续开展“减贫营”项目。我们将进一步与拉美高校合作伙伴共同开拓《中拉青年应对全球挑战》联合课程，以创新课程为载体，切实拓展与强化减贫经验与减贫探索的跨文化交流渠道与做法；</w:t>
      </w:r>
      <w:r>
        <w:rPr>
          <w:rFonts w:hint="eastAsia" w:ascii="仿宋" w:hAnsi="仿宋" w:eastAsia="仿宋" w:cs="仿宋"/>
          <w:color w:val="000000" w:themeColor="text1"/>
          <w14:textFill>
            <w14:solidFill>
              <w14:schemeClr w14:val="tx1"/>
            </w14:solidFill>
          </w14:textFill>
        </w:rPr>
        <w:t>通过总结本次活动的宝贵经验，优化赛事流程，提高赛事质量和影响力；清华大学核心研究团队将在陈涛涛教授的带领下与中国政府、中国投资拉美的企业、拉美的优秀本土企业一道，进一步研究国内外减贫案例、打造减贫最佳实践的示范基地；与此同时，我们将通过线上线下多渠道宣传，进一步提高活动的知名度和参与度，吸引更多国内外优秀学生参与；与国内外企业、高校、科研机构建立合作关系，共同推动挑战赛成果的转化与应用；在年复一年的活动开展中，对优秀方案进行不断迭代与打磨，最终落地实施，关注项目成效，为全球减贫事业贡献中国智慧。</w:t>
      </w:r>
    </w:p>
    <w:p w14:paraId="547DD71D">
      <w:pPr>
        <w:spacing w:line="360" w:lineRule="auto"/>
        <w:ind w:firstLine="420" w:firstLineChars="200"/>
        <w:rPr>
          <w:rFonts w:hint="eastAsia" w:ascii="仿宋" w:hAnsi="仿宋" w:eastAsia="仿宋" w:cs="仿宋"/>
          <w:color w:val="0000FF"/>
        </w:rPr>
      </w:pPr>
    </w:p>
    <w:p w14:paraId="79E6AA88">
      <w:pPr>
        <w:spacing w:line="360" w:lineRule="auto"/>
        <w:ind w:firstLine="420" w:firstLineChars="200"/>
        <w:rPr>
          <w:rFonts w:hint="eastAsia" w:ascii="仿宋" w:hAnsi="仿宋" w:eastAsia="仿宋" w:cs="仿宋"/>
          <w:color w:val="0000FF"/>
        </w:rPr>
      </w:pPr>
    </w:p>
    <w:p w14:paraId="7AB25876">
      <w:pPr>
        <w:spacing w:line="360" w:lineRule="auto"/>
        <w:ind w:firstLine="420"/>
        <w:rPr>
          <w:rFonts w:hint="eastAsia" w:ascii="仿宋" w:hAnsi="仿宋" w:eastAsia="仿宋" w:cs="仿宋"/>
          <w:b/>
          <w:bCs/>
          <w:color w:val="0000FF"/>
        </w:rPr>
      </w:pPr>
      <w:r>
        <w:rPr>
          <w:rFonts w:hint="eastAsia" w:ascii="仿宋" w:hAnsi="仿宋" w:eastAsia="仿宋" w:cs="仿宋"/>
          <w:b/>
          <w:bCs/>
          <w:color w:val="0000FF"/>
        </w:rPr>
        <w:t>通过以上规划，我们相信“中拉青年应对全球挑战——减贫营”活动将不断取得丰硕成果，为中拉共同应对全球挑战培养更多年轻使者，助力全球减贫事业。</w:t>
      </w:r>
    </w:p>
    <w:p w14:paraId="26F89A69">
      <w:pPr>
        <w:spacing w:line="360" w:lineRule="auto"/>
        <w:ind w:firstLine="420"/>
        <w:rPr>
          <w:rFonts w:hint="eastAsia" w:ascii="仿宋" w:hAnsi="仿宋" w:eastAsia="仿宋" w:cs="仿宋"/>
          <w:b/>
          <w:bCs/>
          <w:color w:val="0000FF"/>
          <w:highlight w:val="yellow"/>
        </w:rPr>
      </w:pPr>
    </w:p>
    <w:p w14:paraId="2A486538">
      <w:pPr>
        <w:spacing w:line="360" w:lineRule="auto"/>
        <w:ind w:firstLine="420"/>
        <w:rPr>
          <w:rFonts w:hint="eastAsia" w:ascii="仿宋" w:hAnsi="仿宋" w:eastAsia="仿宋" w:cs="仿宋"/>
          <w:b/>
          <w:bCs/>
          <w:color w:val="0000FF"/>
        </w:rPr>
      </w:pPr>
      <w:r>
        <w:rPr>
          <w:rFonts w:hint="eastAsia" w:ascii="仿宋" w:hAnsi="仿宋" w:eastAsia="仿宋" w:cs="仿宋"/>
          <w:b/>
          <w:bCs/>
          <w:color w:val="0000FF"/>
        </w:rPr>
        <w:t>谨此汇报，再次感谢</w:t>
      </w:r>
      <w:r>
        <w:rPr>
          <w:rFonts w:hint="eastAsia" w:ascii="仿宋" w:hAnsi="仿宋" w:eastAsia="仿宋" w:cs="仿宋"/>
          <w:b/>
          <w:bCs/>
          <w:color w:val="0000FF"/>
          <w:lang w:val="en-US" w:eastAsia="zh-CN"/>
        </w:rPr>
        <w:t>您的大力</w:t>
      </w:r>
      <w:r>
        <w:rPr>
          <w:rFonts w:hint="eastAsia" w:ascii="仿宋" w:hAnsi="仿宋" w:eastAsia="仿宋" w:cs="仿宋"/>
          <w:b/>
          <w:bCs/>
          <w:color w:val="0000FF"/>
        </w:rPr>
        <w:t>支持与关怀！</w:t>
      </w:r>
    </w:p>
    <w:p w14:paraId="365FDC3A">
      <w:pPr>
        <w:spacing w:line="360" w:lineRule="auto"/>
        <w:ind w:firstLine="420"/>
        <w:jc w:val="right"/>
        <w:rPr>
          <w:rFonts w:hint="eastAsia" w:ascii="仿宋" w:hAnsi="仿宋" w:eastAsia="仿宋" w:cs="仿宋"/>
          <w:color w:val="000000" w:themeColor="text1"/>
          <w14:textFill>
            <w14:solidFill>
              <w14:schemeClr w14:val="tx1"/>
            </w14:solidFill>
          </w14:textFill>
        </w:rPr>
      </w:pPr>
    </w:p>
    <w:p w14:paraId="16907078">
      <w:pPr>
        <w:spacing w:line="360" w:lineRule="auto"/>
        <w:ind w:firstLine="420"/>
        <w:jc w:val="right"/>
        <w:rPr>
          <w:rFonts w:hint="eastAsia" w:ascii="仿宋" w:hAnsi="仿宋" w:eastAsia="仿宋" w:cs="仿宋"/>
          <w:color w:val="000000" w:themeColor="text1"/>
          <w14:textFill>
            <w14:solidFill>
              <w14:schemeClr w14:val="tx1"/>
            </w14:solidFill>
          </w14:textFill>
        </w:rPr>
      </w:pPr>
    </w:p>
    <w:p w14:paraId="3E376570">
      <w:pPr>
        <w:spacing w:line="360" w:lineRule="auto"/>
        <w:ind w:firstLine="420"/>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清华大学拉美中心</w:t>
      </w:r>
    </w:p>
    <w:p w14:paraId="6E3B5C37">
      <w:pPr>
        <w:spacing w:line="360" w:lineRule="auto"/>
        <w:ind w:firstLine="420"/>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2025年</w:t>
      </w:r>
      <w:r>
        <w:rPr>
          <w:rFonts w:hint="eastAsia" w:ascii="仿宋" w:hAnsi="仿宋" w:eastAsia="仿宋" w:cs="仿宋"/>
          <w:color w:val="000000" w:themeColor="text1"/>
          <w:lang w:val="en-US" w:eastAsia="zh-CN"/>
          <w14:textFill>
            <w14:solidFill>
              <w14:schemeClr w14:val="tx1"/>
            </w14:solidFill>
          </w14:textFill>
        </w:rPr>
        <w:t>10</w:t>
      </w:r>
      <w:r>
        <w:rPr>
          <w:rFonts w:hint="eastAsia" w:ascii="仿宋" w:hAnsi="仿宋" w:eastAsia="仿宋" w:cs="仿宋"/>
          <w:color w:val="000000" w:themeColor="text1"/>
          <w14:textFill>
            <w14:solidFill>
              <w14:schemeClr w14:val="tx1"/>
            </w14:solidFill>
          </w14:textFill>
        </w:rPr>
        <w:t>月</w:t>
      </w:r>
    </w:p>
    <w:p w14:paraId="764DA4B6">
      <w:pPr>
        <w:widowControl/>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1BB4C857">
      <w:pPr>
        <w:spacing w:line="360" w:lineRule="auto"/>
        <w:rPr>
          <w:rFonts w:ascii="Times New Roman" w:hAnsi="Times New Roman" w:eastAsia="宋体" w:cs="Times New Roman"/>
          <w:b/>
          <w:bCs/>
          <w:sz w:val="22"/>
          <w:szCs w:val="24"/>
        </w:rPr>
      </w:pPr>
      <w:r>
        <w:rPr>
          <w:rFonts w:hint="eastAsia" w:ascii="Arial" w:hAnsi="Arial" w:cs="Arial"/>
          <w:bCs/>
          <w:color w:val="4F81BD" w:themeColor="accent1"/>
          <w14:textFill>
            <w14:solidFill>
              <w14:schemeClr w14:val="accent1"/>
            </w14:solidFill>
          </w14:textFill>
        </w:rPr>
        <w:drawing>
          <wp:inline distT="0" distB="0" distL="0" distR="0">
            <wp:extent cx="5274310" cy="951865"/>
            <wp:effectExtent l="0" t="0" r="0" b="0"/>
            <wp:docPr id="19240614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61424" name="图片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951865"/>
                    </a:xfrm>
                    <a:prstGeom prst="rect">
                      <a:avLst/>
                    </a:prstGeom>
                  </pic:spPr>
                </pic:pic>
              </a:graphicData>
            </a:graphic>
          </wp:inline>
        </w:drawing>
      </w:r>
    </w:p>
    <w:p w14:paraId="01766C94">
      <w:pPr>
        <w:pStyle w:val="22"/>
      </w:pPr>
      <w:bookmarkStart w:id="112" w:name="_Toc20931"/>
      <w:bookmarkStart w:id="113" w:name="_Toc26296"/>
      <w:bookmarkStart w:id="114" w:name="_Toc10005"/>
      <w:bookmarkStart w:id="115" w:name="_Toc29700"/>
      <w:bookmarkStart w:id="116" w:name="_Toc5960"/>
      <w:bookmarkStart w:id="117" w:name="_Toc11318"/>
      <w:bookmarkStart w:id="118" w:name="_Toc30887"/>
      <w:bookmarkStart w:id="119" w:name="_Toc20067"/>
      <w:bookmarkStart w:id="120" w:name="_Toc25834"/>
      <w:bookmarkStart w:id="121" w:name="_Toc11078"/>
      <w:bookmarkStart w:id="122" w:name="_Toc18427"/>
      <w:bookmarkStart w:id="123" w:name="_Toc30115"/>
      <w:r>
        <w:rPr>
          <w:rFonts w:hint="default"/>
        </w:rPr>
        <w:t>附：媒体报道</w:t>
      </w:r>
      <w:bookmarkEnd w:id="112"/>
      <w:bookmarkEnd w:id="113"/>
      <w:bookmarkEnd w:id="114"/>
      <w:bookmarkEnd w:id="115"/>
      <w:bookmarkEnd w:id="116"/>
      <w:bookmarkEnd w:id="117"/>
      <w:bookmarkEnd w:id="118"/>
      <w:bookmarkEnd w:id="119"/>
      <w:bookmarkEnd w:id="120"/>
      <w:bookmarkEnd w:id="121"/>
      <w:bookmarkEnd w:id="122"/>
      <w:bookmarkEnd w:id="123"/>
    </w:p>
    <w:p w14:paraId="37301B5E">
      <w:pPr>
        <w:spacing w:line="360" w:lineRule="auto"/>
        <w:ind w:firstLine="420"/>
        <w:rPr>
          <w:rFonts w:ascii="Times New Roman" w:hAnsi="Times New Roman" w:eastAsia="楷体" w:cs="Times New Roman"/>
          <w:color w:val="000000" w:themeColor="text1"/>
          <w14:textFill>
            <w14:solidFill>
              <w14:schemeClr w14:val="tx1"/>
            </w14:solidFill>
          </w14:textFill>
        </w:rPr>
      </w:pPr>
      <w:bookmarkStart w:id="124" w:name="_Toc22838"/>
      <w:bookmarkStart w:id="125" w:name="_Toc11196"/>
      <w:bookmarkStart w:id="126" w:name="_Toc14793"/>
      <w:r>
        <w:rPr>
          <w:rFonts w:ascii="Times New Roman" w:hAnsi="Times New Roman" w:eastAsia="楷体" w:cs="Times New Roman"/>
          <w:color w:val="000000" w:themeColor="text1"/>
          <w14:textFill>
            <w14:solidFill>
              <w14:schemeClr w14:val="tx1"/>
            </w14:solidFill>
          </w14:textFill>
        </w:rPr>
        <w:t>“2025减贫营”活动吸引了国内外媒体的广泛关注。</w:t>
      </w:r>
      <w:r>
        <w:rPr>
          <w:rFonts w:ascii="Times New Roman" w:hAnsi="Times New Roman" w:eastAsia="楷体" w:cs="Times New Roman"/>
          <w:b/>
          <w:bCs/>
          <w:color w:val="000000" w:themeColor="text1"/>
          <w14:textFill>
            <w14:solidFill>
              <w14:schemeClr w14:val="tx1"/>
            </w14:solidFill>
          </w14:textFill>
        </w:rPr>
        <w:t>新华社（涵盖新华丝路、新华网西班牙语和葡萄牙语频道）、CGTN（西班牙语、葡萄牙语网站）、人民网、环球网、《环球时报》新闻、央视网、中国青年报、中国网、京报网、腾讯网、新浪新闻、搜狐网、网易、凤凰新闻、中国日报网、今日头条、《The Globe and Mail》、Barchart</w:t>
      </w:r>
      <w:r>
        <w:rPr>
          <w:rFonts w:ascii="Times New Roman" w:hAnsi="Times New Roman" w:eastAsia="楷体" w:cs="Times New Roman"/>
          <w:color w:val="000000" w:themeColor="text1"/>
          <w14:textFill>
            <w14:solidFill>
              <w14:schemeClr w14:val="tx1"/>
            </w14:solidFill>
          </w14:textFill>
        </w:rPr>
        <w:t>等国内外近50家主流媒体发布超过</w:t>
      </w:r>
      <w:r>
        <w:rPr>
          <w:rFonts w:ascii="Times New Roman" w:hAnsi="Times New Roman" w:eastAsia="楷体" w:cs="Times New Roman"/>
          <w:b/>
          <w:bCs/>
          <w:color w:val="000000" w:themeColor="text1"/>
          <w14:textFill>
            <w14:solidFill>
              <w14:schemeClr w14:val="tx1"/>
            </w14:solidFill>
          </w14:textFill>
        </w:rPr>
        <w:t>61</w:t>
      </w:r>
      <w:r>
        <w:rPr>
          <w:rFonts w:ascii="Times New Roman" w:hAnsi="Times New Roman" w:eastAsia="楷体" w:cs="Times New Roman"/>
          <w:color w:val="000000" w:themeColor="text1"/>
          <w14:textFill>
            <w14:solidFill>
              <w14:schemeClr w14:val="tx1"/>
            </w14:solidFill>
          </w14:textFill>
        </w:rPr>
        <w:t>篇报道，以及近</w:t>
      </w:r>
      <w:r>
        <w:rPr>
          <w:rFonts w:ascii="Times New Roman" w:hAnsi="Times New Roman" w:eastAsia="楷体" w:cs="Times New Roman"/>
          <w:b/>
          <w:bCs/>
          <w:color w:val="000000" w:themeColor="text1"/>
          <w14:textFill>
            <w14:solidFill>
              <w14:schemeClr w14:val="tx1"/>
            </w14:solidFill>
          </w14:textFill>
        </w:rPr>
        <w:t>500</w:t>
      </w:r>
      <w:r>
        <w:rPr>
          <w:rFonts w:ascii="Times New Roman" w:hAnsi="Times New Roman" w:eastAsia="楷体" w:cs="Times New Roman"/>
          <w:color w:val="000000" w:themeColor="text1"/>
          <w14:textFill>
            <w14:solidFill>
              <w14:schemeClr w14:val="tx1"/>
            </w14:solidFill>
          </w14:textFill>
        </w:rPr>
        <w:t>家外媒的转载报道，主题围绕赛事启动、巴西及智利决赛、参赛团队展示以及活动整体意义等方面。校内校外、国内国外媒体矩阵的联动传播，积极展现了“2025减贫营”在促进中拉青年交流互鉴、推动减贫创新实践以及深化跨文化合作方面的重要价值与影响力。</w:t>
      </w:r>
    </w:p>
    <w:p w14:paraId="4B96C86E">
      <w:pPr>
        <w:spacing w:line="360" w:lineRule="auto"/>
        <w:rPr>
          <w:rFonts w:ascii="Times New Roman" w:hAnsi="Times New Roman" w:eastAsia="宋体" w:cs="Times New Roman"/>
          <w:b/>
          <w:bCs/>
          <w:color w:val="000000" w:themeColor="text1"/>
          <w14:textFill>
            <w14:solidFill>
              <w14:schemeClr w14:val="tx1"/>
            </w14:solidFill>
          </w14:textFill>
        </w:rPr>
      </w:pPr>
    </w:p>
    <w:p w14:paraId="7293FCC0">
      <w:pPr>
        <w:spacing w:line="360" w:lineRule="auto"/>
        <w:rPr>
          <w:rFonts w:ascii="Times New Roman" w:hAnsi="Times New Roman" w:eastAsia="宋体" w:cs="Times New Roman"/>
          <w:b/>
          <w:bCs/>
          <w:color w:val="000000" w:themeColor="text1"/>
          <w14:textFill>
            <w14:solidFill>
              <w14:schemeClr w14:val="tx1"/>
            </w14:solidFill>
          </w14:textFill>
        </w:rPr>
      </w:pPr>
      <w:r>
        <w:rPr>
          <w:rFonts w:hint="eastAsia" w:ascii="Times New Roman" w:hAnsi="Times New Roman" w:eastAsia="宋体" w:cs="Times New Roman"/>
          <w:b/>
          <w:bCs/>
          <w:color w:val="000000" w:themeColor="text1"/>
          <w14:textFill>
            <w14:solidFill>
              <w14:schemeClr w14:val="tx1"/>
            </w14:solidFill>
          </w14:textFill>
        </w:rPr>
        <w:t>1. 减贫营巴西决赛新闻</w:t>
      </w:r>
      <w:bookmarkEnd w:id="124"/>
      <w:bookmarkEnd w:id="125"/>
      <w:bookmarkEnd w:id="126"/>
    </w:p>
    <w:p w14:paraId="325434F5">
      <w:pPr>
        <w:rPr>
          <w:rFonts w:ascii="Times New Roman" w:hAnsi="Times New Roman" w:eastAsia="宋体" w:cs="Times New Roman"/>
        </w:rPr>
      </w:pPr>
      <w:r>
        <w:rPr>
          <w:rFonts w:ascii="Times New Roman" w:hAnsi="Times New Roman" w:eastAsia="宋体" w:cs="Times New Roman"/>
        </w:rPr>
        <w:t>CGTN：</w:t>
      </w:r>
    </w:p>
    <w:p w14:paraId="6380615C">
      <w:pPr>
        <w:rPr>
          <w:rFonts w:ascii="Times New Roman" w:hAnsi="Times New Roman" w:eastAsia="宋体" w:cs="Times New Roman"/>
        </w:rPr>
      </w:pPr>
      <w:r>
        <w:rPr>
          <w:rFonts w:ascii="Times New Roman" w:hAnsi="Times New Roman" w:eastAsia="宋体" w:cs="Times New Roman"/>
        </w:rPr>
        <w:t>里约热内卢启动“中拉青年减贫挑战赛”决赛</w:t>
      </w:r>
    </w:p>
    <w:p w14:paraId="4F23F5C4">
      <w:pPr>
        <w:rPr>
          <w:rFonts w:ascii="Times New Roman" w:hAnsi="Times New Roman" w:eastAsia="宋体" w:cs="Times New Roman"/>
        </w:rPr>
      </w:pPr>
      <w:r>
        <w:fldChar w:fldCharType="begin"/>
      </w:r>
      <w:r>
        <w:instrText xml:space="preserve"> HYPERLINK "https://spanish.xinhuanet.com/20250814/6f1be2785a89467b804c9142065e0206/c.html" </w:instrText>
      </w:r>
      <w:r>
        <w:fldChar w:fldCharType="separate"/>
      </w:r>
      <w:r>
        <w:rPr>
          <w:rStyle w:val="15"/>
          <w:rFonts w:ascii="Times New Roman" w:hAnsi="Times New Roman" w:eastAsia="宋体" w:cs="Times New Roman"/>
        </w:rPr>
        <w:t>https://spanish.xinhuanet.com/20250814/6f1be2785a89467b804c9142065e0206/c.html</w:t>
      </w:r>
      <w:r>
        <w:rPr>
          <w:rStyle w:val="15"/>
          <w:rFonts w:ascii="Times New Roman" w:hAnsi="Times New Roman" w:eastAsia="宋体" w:cs="Times New Roman"/>
        </w:rPr>
        <w:fldChar w:fldCharType="end"/>
      </w:r>
    </w:p>
    <w:p w14:paraId="319836E5">
      <w:pPr>
        <w:rPr>
          <w:rFonts w:ascii="Times New Roman" w:hAnsi="Times New Roman" w:eastAsia="宋体" w:cs="Times New Roman"/>
        </w:rPr>
      </w:pPr>
    </w:p>
    <w:p w14:paraId="377ECF1A">
      <w:pPr>
        <w:rPr>
          <w:rFonts w:ascii="Times New Roman" w:hAnsi="Times New Roman" w:eastAsia="宋体" w:cs="Times New Roman"/>
        </w:rPr>
      </w:pPr>
      <w:r>
        <w:rPr>
          <w:rFonts w:ascii="Times New Roman" w:hAnsi="Times New Roman" w:eastAsia="宋体" w:cs="Times New Roman"/>
        </w:rPr>
        <w:t>CGTN：</w:t>
      </w:r>
    </w:p>
    <w:p w14:paraId="16DBDF1B">
      <w:pPr>
        <w:rPr>
          <w:rFonts w:ascii="Times New Roman" w:hAnsi="Times New Roman" w:eastAsia="宋体" w:cs="Times New Roman"/>
        </w:rPr>
      </w:pPr>
      <w:r>
        <w:rPr>
          <w:rFonts w:ascii="Times New Roman" w:hAnsi="Times New Roman" w:eastAsia="宋体" w:cs="Times New Roman"/>
        </w:rPr>
        <w:t>特别报道：中国在消除贫困方面的经验可以成为拉丁美洲的榜样,中国驻里约总领事说</w:t>
      </w:r>
    </w:p>
    <w:p w14:paraId="0C0ACD4D">
      <w:pPr>
        <w:rPr>
          <w:rFonts w:ascii="Times New Roman" w:hAnsi="Times New Roman" w:eastAsia="宋体" w:cs="Times New Roman"/>
        </w:rPr>
      </w:pPr>
      <w:r>
        <w:fldChar w:fldCharType="begin"/>
      </w:r>
      <w:r>
        <w:instrText xml:space="preserve"> HYPERLINK "https://spanish.news.cn/20250815/2ea272de22b94ec991cec9555e9ec1c1/c.html" </w:instrText>
      </w:r>
      <w:r>
        <w:fldChar w:fldCharType="separate"/>
      </w:r>
      <w:r>
        <w:rPr>
          <w:rStyle w:val="15"/>
          <w:rFonts w:ascii="Times New Roman" w:hAnsi="Times New Roman" w:eastAsia="宋体" w:cs="Times New Roman"/>
        </w:rPr>
        <w:t>https://spanish.news.cn/20250815/2ea272de22b94ec991cec9555e9ec1c1/c.html</w:t>
      </w:r>
      <w:r>
        <w:rPr>
          <w:rStyle w:val="15"/>
          <w:rFonts w:ascii="Times New Roman" w:hAnsi="Times New Roman" w:eastAsia="宋体" w:cs="Times New Roman"/>
        </w:rPr>
        <w:fldChar w:fldCharType="end"/>
      </w:r>
    </w:p>
    <w:p w14:paraId="1572C92F">
      <w:pPr>
        <w:rPr>
          <w:rFonts w:ascii="Times New Roman" w:hAnsi="Times New Roman" w:eastAsia="宋体" w:cs="Times New Roman"/>
        </w:rPr>
      </w:pPr>
    </w:p>
    <w:p w14:paraId="6F9CCB1D">
      <w:pPr>
        <w:rPr>
          <w:rFonts w:ascii="Times New Roman" w:hAnsi="Times New Roman" w:eastAsia="宋体" w:cs="Times New Roman"/>
        </w:rPr>
      </w:pPr>
      <w:r>
        <w:rPr>
          <w:rFonts w:hint="eastAsia" w:ascii="Times New Roman" w:hAnsi="Times New Roman" w:eastAsia="宋体" w:cs="Times New Roman"/>
        </w:rPr>
        <w:t>人民网：</w:t>
      </w:r>
    </w:p>
    <w:p w14:paraId="6D291CD5">
      <w:pPr>
        <w:rPr>
          <w:rFonts w:ascii="Times New Roman" w:hAnsi="Times New Roman" w:eastAsia="宋体" w:cs="Times New Roman"/>
        </w:rPr>
      </w:pPr>
      <w:r>
        <w:rPr>
          <w:rFonts w:hint="eastAsia" w:ascii="Times New Roman" w:hAnsi="Times New Roman" w:eastAsia="宋体" w:cs="Times New Roman"/>
        </w:rPr>
        <w:t>“中拉青年应对全球挑战——</w:t>
      </w:r>
      <w:r>
        <w:rPr>
          <w:rFonts w:ascii="Times New Roman" w:hAnsi="Times New Roman" w:eastAsia="宋体" w:cs="Times New Roman"/>
        </w:rPr>
        <w:t>2025减贫营”巴西决赛举行</w:t>
      </w:r>
    </w:p>
    <w:p w14:paraId="5D43F69C">
      <w:pPr>
        <w:rPr>
          <w:rFonts w:ascii="Times New Roman" w:hAnsi="Times New Roman" w:eastAsia="宋体" w:cs="Times New Roman"/>
        </w:rPr>
      </w:pPr>
      <w:r>
        <w:fldChar w:fldCharType="begin"/>
      </w:r>
      <w:r>
        <w:instrText xml:space="preserve"> HYPERLINK "http://finance.people.com.cn/n1/2025/0822/c1004-40548212.html" </w:instrText>
      </w:r>
      <w:r>
        <w:fldChar w:fldCharType="separate"/>
      </w:r>
      <w:r>
        <w:rPr>
          <w:rStyle w:val="15"/>
          <w:rFonts w:ascii="Times New Roman" w:hAnsi="Times New Roman" w:eastAsia="宋体" w:cs="Times New Roman"/>
        </w:rPr>
        <w:t>http://finance.people.com.cn/n1/2025/0822/c1004-40548212.html</w:t>
      </w:r>
      <w:r>
        <w:rPr>
          <w:rStyle w:val="15"/>
          <w:rFonts w:ascii="Times New Roman" w:hAnsi="Times New Roman" w:eastAsia="宋体" w:cs="Times New Roman"/>
        </w:rPr>
        <w:fldChar w:fldCharType="end"/>
      </w:r>
    </w:p>
    <w:p w14:paraId="1358B9C8">
      <w:pPr>
        <w:rPr>
          <w:rFonts w:ascii="Times New Roman" w:hAnsi="Times New Roman" w:eastAsia="宋体" w:cs="Times New Roman"/>
        </w:rPr>
      </w:pPr>
    </w:p>
    <w:p w14:paraId="4DDBF1D7">
      <w:pPr>
        <w:rPr>
          <w:rFonts w:ascii="Times New Roman" w:hAnsi="Times New Roman" w:eastAsia="宋体" w:cs="Times New Roman"/>
        </w:rPr>
      </w:pPr>
      <w:r>
        <w:rPr>
          <w:rFonts w:ascii="Times New Roman" w:hAnsi="Times New Roman" w:eastAsia="宋体" w:cs="Times New Roman"/>
        </w:rPr>
        <w:t>中国青年报：</w:t>
      </w:r>
    </w:p>
    <w:p w14:paraId="09D9AA30">
      <w:pPr>
        <w:rPr>
          <w:rFonts w:ascii="Times New Roman" w:hAnsi="Times New Roman" w:eastAsia="宋体" w:cs="Times New Roman"/>
        </w:rPr>
      </w:pPr>
      <w:r>
        <w:rPr>
          <w:rFonts w:ascii="Times New Roman" w:hAnsi="Times New Roman" w:eastAsia="宋体" w:cs="Times New Roman"/>
        </w:rPr>
        <w:t>清华大学队伍获“2025减贫营”巴西决赛项目评比金奖</w:t>
      </w:r>
    </w:p>
    <w:p w14:paraId="7E62A82F">
      <w:pPr>
        <w:rPr>
          <w:rFonts w:ascii="Times New Roman" w:hAnsi="Times New Roman" w:eastAsia="宋体" w:cs="Times New Roman"/>
        </w:rPr>
      </w:pPr>
      <w:r>
        <w:fldChar w:fldCharType="begin"/>
      </w:r>
      <w:r>
        <w:instrText xml:space="preserve"> HYPERLINK "https://s.cyol.com/articles/2025-08/19/content_bmLznwCv.html?gid=nDMbAyk4" </w:instrText>
      </w:r>
      <w:r>
        <w:fldChar w:fldCharType="separate"/>
      </w:r>
      <w:r>
        <w:rPr>
          <w:rStyle w:val="15"/>
          <w:rFonts w:ascii="Times New Roman" w:hAnsi="Times New Roman" w:eastAsia="宋体" w:cs="Times New Roman"/>
        </w:rPr>
        <w:t>https://s.cyol.com/articles/2025-08/19/content_bmLznwCv.html?gid=nDMbAyk4</w:t>
      </w:r>
      <w:r>
        <w:rPr>
          <w:rStyle w:val="15"/>
          <w:rFonts w:ascii="Times New Roman" w:hAnsi="Times New Roman" w:eastAsia="宋体" w:cs="Times New Roman"/>
        </w:rPr>
        <w:fldChar w:fldCharType="end"/>
      </w:r>
    </w:p>
    <w:p w14:paraId="29DB0E7C">
      <w:pPr>
        <w:rPr>
          <w:rFonts w:ascii="Times New Roman" w:hAnsi="Times New Roman" w:eastAsia="宋体" w:cs="Times New Roman"/>
        </w:rPr>
      </w:pPr>
    </w:p>
    <w:p w14:paraId="53C764D1">
      <w:pPr>
        <w:rPr>
          <w:rFonts w:ascii="Times New Roman" w:hAnsi="Times New Roman" w:eastAsia="宋体" w:cs="Times New Roman"/>
        </w:rPr>
      </w:pPr>
      <w:r>
        <w:rPr>
          <w:rFonts w:ascii="Times New Roman" w:hAnsi="Times New Roman" w:eastAsia="宋体" w:cs="Times New Roman"/>
        </w:rPr>
        <w:t>新华丝路：</w:t>
      </w:r>
    </w:p>
    <w:p w14:paraId="2373817D">
      <w:pPr>
        <w:rPr>
          <w:rFonts w:ascii="Times New Roman" w:hAnsi="Times New Roman" w:eastAsia="宋体" w:cs="Times New Roman"/>
        </w:rPr>
      </w:pPr>
      <w:r>
        <w:rPr>
          <w:rFonts w:ascii="Times New Roman" w:hAnsi="Times New Roman" w:eastAsia="宋体" w:cs="Times New Roman"/>
        </w:rPr>
        <w:t>中拉青年应对全球挑战——2025减贫营巴西决赛圆满举行</w:t>
      </w:r>
    </w:p>
    <w:p w14:paraId="213B70E7">
      <w:pPr>
        <w:rPr>
          <w:rFonts w:ascii="Times New Roman" w:hAnsi="Times New Roman" w:eastAsia="宋体" w:cs="Times New Roman"/>
        </w:rPr>
      </w:pPr>
      <w:r>
        <w:fldChar w:fldCharType="begin"/>
      </w:r>
      <w:r>
        <w:instrText xml:space="preserve"> HYPERLINK "https://www.imsilkroad.com/news/p/541200.html?date=1755604641000" </w:instrText>
      </w:r>
      <w:r>
        <w:fldChar w:fldCharType="separate"/>
      </w:r>
      <w:r>
        <w:rPr>
          <w:rStyle w:val="15"/>
          <w:rFonts w:ascii="Times New Roman" w:hAnsi="Times New Roman" w:eastAsia="宋体" w:cs="Times New Roman"/>
        </w:rPr>
        <w:t>https://www.imsilkroad.com/news/p/541200.html?date=1755604641000</w:t>
      </w:r>
      <w:r>
        <w:rPr>
          <w:rStyle w:val="15"/>
          <w:rFonts w:ascii="Times New Roman" w:hAnsi="Times New Roman" w:eastAsia="宋体" w:cs="Times New Roman"/>
        </w:rPr>
        <w:fldChar w:fldCharType="end"/>
      </w:r>
    </w:p>
    <w:p w14:paraId="00671541">
      <w:pPr>
        <w:rPr>
          <w:rFonts w:ascii="Times New Roman" w:hAnsi="Times New Roman" w:eastAsia="宋体" w:cs="Times New Roman"/>
        </w:rPr>
      </w:pPr>
    </w:p>
    <w:p w14:paraId="0DA70F18">
      <w:pPr>
        <w:rPr>
          <w:rFonts w:ascii="Times New Roman" w:hAnsi="Times New Roman" w:eastAsia="宋体" w:cs="Times New Roman"/>
        </w:rPr>
      </w:pPr>
      <w:r>
        <w:rPr>
          <w:rFonts w:ascii="Times New Roman" w:hAnsi="Times New Roman" w:eastAsia="宋体" w:cs="Times New Roman"/>
        </w:rPr>
        <w:t>新华社：</w:t>
      </w:r>
    </w:p>
    <w:p w14:paraId="5CFAD333">
      <w:pPr>
        <w:rPr>
          <w:rFonts w:ascii="Times New Roman" w:hAnsi="Times New Roman" w:eastAsia="宋体" w:cs="Times New Roman"/>
        </w:rPr>
      </w:pPr>
      <w:r>
        <w:rPr>
          <w:rFonts w:ascii="Times New Roman" w:hAnsi="Times New Roman" w:eastAsia="宋体" w:cs="Times New Roman"/>
        </w:rPr>
        <w:t>“中拉青年应对全球挑战——2025减贫营”巴西决赛举行</w:t>
      </w:r>
    </w:p>
    <w:p w14:paraId="1D853EAD">
      <w:pPr>
        <w:rPr>
          <w:rFonts w:ascii="Times New Roman" w:hAnsi="Times New Roman" w:eastAsia="宋体" w:cs="Times New Roman"/>
        </w:rPr>
      </w:pPr>
      <w:r>
        <w:fldChar w:fldCharType="begin"/>
      </w:r>
      <w:r>
        <w:instrText xml:space="preserve"> HYPERLINK "https://h.xinhuaxmt.com/vh512/share/12695867?docid=12695867&amp;newstype=1001&amp;d=13500c3&amp;channel=weixin" </w:instrText>
      </w:r>
      <w:r>
        <w:fldChar w:fldCharType="separate"/>
      </w:r>
      <w:r>
        <w:rPr>
          <w:rStyle w:val="15"/>
          <w:rFonts w:ascii="Times New Roman" w:hAnsi="Times New Roman" w:eastAsia="宋体" w:cs="Times New Roman"/>
        </w:rPr>
        <w:t>https://h.xinhuaxmt.com/vh512/share/12695867?docid=12695867&amp;newstype=1001&amp;d=13500c3&amp;channel=weixin</w:t>
      </w:r>
      <w:r>
        <w:rPr>
          <w:rStyle w:val="15"/>
          <w:rFonts w:ascii="Times New Roman" w:hAnsi="Times New Roman" w:eastAsia="宋体" w:cs="Times New Roman"/>
        </w:rPr>
        <w:fldChar w:fldCharType="end"/>
      </w:r>
    </w:p>
    <w:p w14:paraId="1BC23529">
      <w:pPr>
        <w:rPr>
          <w:rFonts w:ascii="Times New Roman" w:hAnsi="Times New Roman" w:eastAsia="宋体" w:cs="Times New Roman"/>
        </w:rPr>
      </w:pPr>
    </w:p>
    <w:p w14:paraId="047E3639">
      <w:pPr>
        <w:rPr>
          <w:rFonts w:ascii="Times New Roman" w:hAnsi="Times New Roman" w:eastAsia="宋体" w:cs="Times New Roman"/>
        </w:rPr>
      </w:pPr>
      <w:r>
        <w:rPr>
          <w:rFonts w:hint="eastAsia" w:ascii="Times New Roman" w:hAnsi="Times New Roman" w:eastAsia="宋体" w:cs="Times New Roman"/>
        </w:rPr>
        <w:t>京报网：</w:t>
      </w:r>
    </w:p>
    <w:p w14:paraId="78F2D164">
      <w:pPr>
        <w:rPr>
          <w:rFonts w:ascii="Times New Roman" w:hAnsi="Times New Roman" w:eastAsia="宋体" w:cs="Times New Roman"/>
        </w:rPr>
      </w:pPr>
      <w:r>
        <w:rPr>
          <w:rFonts w:ascii="Times New Roman" w:hAnsi="Times New Roman" w:eastAsia="宋体" w:cs="Times New Roman"/>
        </w:rPr>
        <w:t>2025减贫营｜巴西决赛减贫研讨会顺利举行</w:t>
      </w:r>
    </w:p>
    <w:p w14:paraId="1657DB5F">
      <w:pPr>
        <w:rPr>
          <w:rFonts w:ascii="Times New Roman" w:hAnsi="Times New Roman" w:eastAsia="宋体" w:cs="Times New Roman"/>
        </w:rPr>
      </w:pPr>
      <w:r>
        <w:fldChar w:fldCharType="begin"/>
      </w:r>
      <w:r>
        <w:instrText xml:space="preserve"> HYPERLINK "https://wap.bjd.com.cn/news/2025/08/20/11277702.shtml" </w:instrText>
      </w:r>
      <w:r>
        <w:fldChar w:fldCharType="separate"/>
      </w:r>
      <w:r>
        <w:rPr>
          <w:rStyle w:val="15"/>
          <w:rFonts w:ascii="Times New Roman" w:hAnsi="Times New Roman" w:eastAsia="宋体" w:cs="Times New Roman"/>
        </w:rPr>
        <w:t>https://wap.bjd.com.cn/news/2025/08/20/11277702.shtml</w:t>
      </w:r>
      <w:r>
        <w:rPr>
          <w:rStyle w:val="15"/>
          <w:rFonts w:ascii="Times New Roman" w:hAnsi="Times New Roman" w:eastAsia="宋体" w:cs="Times New Roman"/>
        </w:rPr>
        <w:fldChar w:fldCharType="end"/>
      </w:r>
    </w:p>
    <w:p w14:paraId="438790AC">
      <w:pPr>
        <w:rPr>
          <w:rFonts w:ascii="Times New Roman" w:hAnsi="Times New Roman" w:eastAsia="宋体" w:cs="Times New Roman"/>
        </w:rPr>
      </w:pPr>
    </w:p>
    <w:p w14:paraId="42C5E310">
      <w:pPr>
        <w:rPr>
          <w:rFonts w:ascii="Times New Roman" w:hAnsi="Times New Roman" w:eastAsia="宋体" w:cs="Times New Roman"/>
        </w:rPr>
      </w:pPr>
      <w:r>
        <w:rPr>
          <w:rFonts w:hint="eastAsia" w:ascii="Times New Roman" w:hAnsi="Times New Roman" w:eastAsia="宋体" w:cs="Times New Roman"/>
        </w:rPr>
        <w:t>中宏网：</w:t>
      </w:r>
    </w:p>
    <w:p w14:paraId="3CA4A8B7">
      <w:pPr>
        <w:rPr>
          <w:rFonts w:ascii="Times New Roman" w:hAnsi="Times New Roman" w:eastAsia="宋体" w:cs="Times New Roman"/>
        </w:rPr>
      </w:pPr>
      <w:r>
        <w:rPr>
          <w:rFonts w:hint="eastAsia" w:ascii="Times New Roman" w:hAnsi="Times New Roman" w:eastAsia="宋体" w:cs="Times New Roman"/>
        </w:rPr>
        <w:t>“中拉青年应对全球挑战—</w:t>
      </w:r>
      <w:r>
        <w:rPr>
          <w:rFonts w:ascii="Times New Roman" w:hAnsi="Times New Roman" w:eastAsia="宋体" w:cs="Times New Roman"/>
        </w:rPr>
        <w:t>2025减贫营”巴西决赛研讨会在里约热内卢联邦大学举行</w:t>
      </w:r>
    </w:p>
    <w:p w14:paraId="13E94E66">
      <w:pPr>
        <w:rPr>
          <w:rFonts w:ascii="Times New Roman" w:hAnsi="Times New Roman" w:eastAsia="宋体" w:cs="Times New Roman"/>
        </w:rPr>
      </w:pPr>
      <w:r>
        <w:fldChar w:fldCharType="begin"/>
      </w:r>
      <w:r>
        <w:instrText xml:space="preserve"> HYPERLINK "https://www.zhonghongwang.com/show-140-433264-1.html" </w:instrText>
      </w:r>
      <w:r>
        <w:fldChar w:fldCharType="separate"/>
      </w:r>
      <w:r>
        <w:rPr>
          <w:rStyle w:val="15"/>
          <w:rFonts w:ascii="Times New Roman" w:hAnsi="Times New Roman" w:eastAsia="宋体" w:cs="Times New Roman"/>
        </w:rPr>
        <w:t>https://www.zhonghongwang.com/show-140-433264-1.html</w:t>
      </w:r>
      <w:r>
        <w:rPr>
          <w:rStyle w:val="15"/>
          <w:rFonts w:ascii="Times New Roman" w:hAnsi="Times New Roman" w:eastAsia="宋体" w:cs="Times New Roman"/>
        </w:rPr>
        <w:fldChar w:fldCharType="end"/>
      </w:r>
    </w:p>
    <w:p w14:paraId="78715154">
      <w:pPr>
        <w:rPr>
          <w:rFonts w:ascii="Times New Roman" w:hAnsi="Times New Roman" w:eastAsia="宋体" w:cs="Times New Roman"/>
        </w:rPr>
      </w:pPr>
    </w:p>
    <w:p w14:paraId="2E49FF26">
      <w:pPr>
        <w:rPr>
          <w:rFonts w:ascii="Times New Roman" w:hAnsi="Times New Roman" w:eastAsia="宋体" w:cs="Times New Roman"/>
        </w:rPr>
      </w:pPr>
      <w:r>
        <w:rPr>
          <w:rFonts w:hint="eastAsia" w:ascii="Times New Roman" w:hAnsi="Times New Roman" w:eastAsia="宋体" w:cs="Times New Roman"/>
        </w:rPr>
        <w:t>中国网：</w:t>
      </w:r>
    </w:p>
    <w:p w14:paraId="67CE238D">
      <w:pPr>
        <w:rPr>
          <w:rFonts w:ascii="Times New Roman" w:hAnsi="Times New Roman" w:eastAsia="宋体" w:cs="Times New Roman"/>
        </w:rPr>
      </w:pPr>
      <w:r>
        <w:rPr>
          <w:rFonts w:hint="eastAsia" w:ascii="Times New Roman" w:hAnsi="Times New Roman" w:eastAsia="宋体" w:cs="Times New Roman"/>
        </w:rPr>
        <w:t>中拉青年应对全球挑战——</w:t>
      </w:r>
      <w:r>
        <w:rPr>
          <w:rFonts w:ascii="Times New Roman" w:hAnsi="Times New Roman" w:eastAsia="宋体" w:cs="Times New Roman"/>
        </w:rPr>
        <w:t>2025减贫营巴西决赛圆满举行</w:t>
      </w:r>
    </w:p>
    <w:p w14:paraId="6A36D4C0">
      <w:pPr>
        <w:rPr>
          <w:rFonts w:ascii="Times New Roman" w:hAnsi="Times New Roman" w:eastAsia="宋体" w:cs="Times New Roman"/>
        </w:rPr>
      </w:pPr>
      <w:r>
        <w:fldChar w:fldCharType="begin"/>
      </w:r>
      <w:r>
        <w:instrText xml:space="preserve"> HYPERLINK "http://bjtime.china.com.cn/2025-08/20/content_43207873.html" </w:instrText>
      </w:r>
      <w:r>
        <w:fldChar w:fldCharType="separate"/>
      </w:r>
      <w:r>
        <w:rPr>
          <w:rStyle w:val="15"/>
          <w:rFonts w:ascii="Times New Roman" w:hAnsi="Times New Roman" w:eastAsia="宋体" w:cs="Times New Roman"/>
        </w:rPr>
        <w:t>http://bjtime.china.com.cn/2025-08/20/content_43207873.html</w:t>
      </w:r>
      <w:r>
        <w:rPr>
          <w:rStyle w:val="15"/>
          <w:rFonts w:ascii="Times New Roman" w:hAnsi="Times New Roman" w:eastAsia="宋体" w:cs="Times New Roman"/>
        </w:rPr>
        <w:fldChar w:fldCharType="end"/>
      </w:r>
    </w:p>
    <w:p w14:paraId="548CC59B">
      <w:pPr>
        <w:rPr>
          <w:rFonts w:ascii="Times New Roman" w:hAnsi="Times New Roman" w:eastAsia="宋体" w:cs="Times New Roman"/>
        </w:rPr>
      </w:pPr>
    </w:p>
    <w:p w14:paraId="3785AED0">
      <w:pPr>
        <w:rPr>
          <w:rFonts w:ascii="Times New Roman" w:hAnsi="Times New Roman" w:eastAsia="宋体" w:cs="Times New Roman"/>
        </w:rPr>
      </w:pPr>
      <w:r>
        <w:rPr>
          <w:rFonts w:hint="eastAsia" w:ascii="Times New Roman" w:hAnsi="Times New Roman" w:eastAsia="宋体" w:cs="Times New Roman"/>
        </w:rPr>
        <w:t>环球网：</w:t>
      </w:r>
    </w:p>
    <w:p w14:paraId="1E9043CC">
      <w:pPr>
        <w:rPr>
          <w:rFonts w:ascii="Times New Roman" w:hAnsi="Times New Roman" w:eastAsia="宋体" w:cs="Times New Roman"/>
        </w:rPr>
      </w:pPr>
      <w:r>
        <w:rPr>
          <w:rFonts w:hint="eastAsia" w:ascii="Times New Roman" w:hAnsi="Times New Roman" w:eastAsia="宋体" w:cs="Times New Roman"/>
        </w:rPr>
        <w:t>中拉青年应对全球挑战——</w:t>
      </w:r>
      <w:r>
        <w:rPr>
          <w:rFonts w:ascii="Times New Roman" w:hAnsi="Times New Roman" w:eastAsia="宋体" w:cs="Times New Roman"/>
        </w:rPr>
        <w:t>2025减贫营巴西决赛圆满举行</w:t>
      </w:r>
    </w:p>
    <w:p w14:paraId="1F85A19C">
      <w:pPr>
        <w:rPr>
          <w:rFonts w:ascii="Times New Roman" w:hAnsi="Times New Roman" w:eastAsia="宋体" w:cs="Times New Roman"/>
        </w:rPr>
      </w:pPr>
      <w:r>
        <w:fldChar w:fldCharType="begin"/>
      </w:r>
      <w:r>
        <w:instrText xml:space="preserve"> HYPERLINK "https://biz.huanqiu.com/article/4Nz6IKhC3gC" </w:instrText>
      </w:r>
      <w:r>
        <w:fldChar w:fldCharType="separate"/>
      </w:r>
      <w:r>
        <w:rPr>
          <w:rStyle w:val="15"/>
          <w:rFonts w:ascii="Times New Roman" w:hAnsi="Times New Roman" w:eastAsia="宋体" w:cs="Times New Roman"/>
        </w:rPr>
        <w:t>https://biz.huanqiu.com/article/4Nz6IKhC3gC</w:t>
      </w:r>
      <w:r>
        <w:rPr>
          <w:rStyle w:val="15"/>
          <w:rFonts w:ascii="Times New Roman" w:hAnsi="Times New Roman" w:eastAsia="宋体" w:cs="Times New Roman"/>
        </w:rPr>
        <w:fldChar w:fldCharType="end"/>
      </w:r>
    </w:p>
    <w:p w14:paraId="64958F7F">
      <w:pPr>
        <w:rPr>
          <w:rFonts w:ascii="Times New Roman" w:hAnsi="Times New Roman" w:eastAsia="宋体" w:cs="Times New Roman"/>
        </w:rPr>
      </w:pPr>
    </w:p>
    <w:p w14:paraId="58AEF352">
      <w:pPr>
        <w:rPr>
          <w:rFonts w:ascii="Times New Roman" w:hAnsi="Times New Roman" w:eastAsia="宋体" w:cs="Times New Roman"/>
        </w:rPr>
      </w:pPr>
      <w:r>
        <w:rPr>
          <w:rFonts w:hint="eastAsia" w:ascii="Times New Roman" w:hAnsi="Times New Roman" w:eastAsia="宋体" w:cs="Times New Roman"/>
        </w:rPr>
        <w:t>环球时报：</w:t>
      </w:r>
    </w:p>
    <w:p w14:paraId="4AB9781D">
      <w:pPr>
        <w:rPr>
          <w:rFonts w:ascii="Times New Roman" w:hAnsi="Times New Roman" w:eastAsia="宋体" w:cs="Times New Roman"/>
        </w:rPr>
      </w:pPr>
      <w:r>
        <w:rPr>
          <w:rFonts w:hint="eastAsia" w:ascii="Times New Roman" w:hAnsi="Times New Roman" w:eastAsia="宋体" w:cs="Times New Roman"/>
        </w:rPr>
        <w:t>中拉青年应对全球挑战——</w:t>
      </w:r>
      <w:r>
        <w:rPr>
          <w:rFonts w:ascii="Times New Roman" w:hAnsi="Times New Roman" w:eastAsia="宋体" w:cs="Times New Roman"/>
        </w:rPr>
        <w:t>2025减贫营巴西决赛圆满举行</w:t>
      </w:r>
    </w:p>
    <w:p w14:paraId="4841DCE2">
      <w:pPr>
        <w:rPr>
          <w:rFonts w:ascii="Times New Roman" w:hAnsi="Times New Roman" w:eastAsia="宋体" w:cs="Times New Roman"/>
        </w:rPr>
      </w:pPr>
      <w:r>
        <w:fldChar w:fldCharType="begin"/>
      </w:r>
      <w:r>
        <w:instrText xml:space="preserve"> HYPERLINK "https://hqtime.huanqiu.com/share/article/4Nz6IKhC3gC" </w:instrText>
      </w:r>
      <w:r>
        <w:fldChar w:fldCharType="separate"/>
      </w:r>
      <w:r>
        <w:rPr>
          <w:rStyle w:val="15"/>
          <w:rFonts w:ascii="Times New Roman" w:hAnsi="Times New Roman" w:eastAsia="宋体" w:cs="Times New Roman"/>
        </w:rPr>
        <w:t>https://hqtime.huanqiu.com/share/article/4Nz6IKhC3gC</w:t>
      </w:r>
      <w:r>
        <w:rPr>
          <w:rStyle w:val="15"/>
          <w:rFonts w:ascii="Times New Roman" w:hAnsi="Times New Roman" w:eastAsia="宋体" w:cs="Times New Roman"/>
        </w:rPr>
        <w:fldChar w:fldCharType="end"/>
      </w:r>
    </w:p>
    <w:p w14:paraId="21C3969B">
      <w:pPr>
        <w:rPr>
          <w:rFonts w:ascii="Times New Roman" w:hAnsi="Times New Roman" w:eastAsia="宋体" w:cs="Times New Roman"/>
        </w:rPr>
      </w:pPr>
    </w:p>
    <w:p w14:paraId="67757D3E">
      <w:pPr>
        <w:rPr>
          <w:rFonts w:ascii="Times New Roman" w:hAnsi="Times New Roman" w:eastAsia="宋体" w:cs="Times New Roman"/>
        </w:rPr>
      </w:pPr>
      <w:r>
        <w:rPr>
          <w:rFonts w:ascii="Times New Roman" w:hAnsi="Times New Roman" w:eastAsia="宋体" w:cs="Times New Roman"/>
        </w:rPr>
        <w:t>腾讯网：</w:t>
      </w:r>
    </w:p>
    <w:p w14:paraId="21529190">
      <w:pPr>
        <w:rPr>
          <w:rFonts w:ascii="Times New Roman" w:hAnsi="Times New Roman" w:eastAsia="宋体" w:cs="Times New Roman"/>
        </w:rPr>
      </w:pPr>
      <w:r>
        <w:rPr>
          <w:rFonts w:ascii="Times New Roman" w:hAnsi="Times New Roman" w:eastAsia="宋体" w:cs="Times New Roman"/>
        </w:rPr>
        <w:t>2025减贫营｜巴西决赛减贫研讨会顺利举行</w:t>
      </w:r>
    </w:p>
    <w:p w14:paraId="77A6F336">
      <w:pPr>
        <w:rPr>
          <w:rFonts w:ascii="Times New Roman" w:hAnsi="Times New Roman" w:eastAsia="宋体" w:cs="Times New Roman"/>
        </w:rPr>
      </w:pPr>
      <w:r>
        <w:fldChar w:fldCharType="begin"/>
      </w:r>
      <w:r>
        <w:instrText xml:space="preserve"> HYPERLINK "https://news.qq.com/rain/a/20250819A045EG00" </w:instrText>
      </w:r>
      <w:r>
        <w:fldChar w:fldCharType="separate"/>
      </w:r>
      <w:r>
        <w:rPr>
          <w:rStyle w:val="15"/>
          <w:rFonts w:ascii="Times New Roman" w:hAnsi="Times New Roman" w:eastAsia="宋体" w:cs="Times New Roman"/>
        </w:rPr>
        <w:t>https://news.qq.com/rain/a/20250819A045EG00</w:t>
      </w:r>
      <w:r>
        <w:rPr>
          <w:rStyle w:val="15"/>
          <w:rFonts w:ascii="Times New Roman" w:hAnsi="Times New Roman" w:eastAsia="宋体" w:cs="Times New Roman"/>
        </w:rPr>
        <w:fldChar w:fldCharType="end"/>
      </w:r>
    </w:p>
    <w:p w14:paraId="5ACD5DC5">
      <w:pPr>
        <w:rPr>
          <w:rFonts w:ascii="Times New Roman" w:hAnsi="Times New Roman" w:eastAsia="宋体" w:cs="Times New Roman"/>
        </w:rPr>
      </w:pPr>
    </w:p>
    <w:p w14:paraId="139331D9">
      <w:pPr>
        <w:rPr>
          <w:rFonts w:ascii="Times New Roman" w:hAnsi="Times New Roman" w:eastAsia="宋体" w:cs="Times New Roman"/>
        </w:rPr>
      </w:pPr>
      <w:r>
        <w:rPr>
          <w:rFonts w:ascii="Times New Roman" w:hAnsi="Times New Roman" w:eastAsia="宋体" w:cs="Times New Roman"/>
        </w:rPr>
        <w:t>新浪新闻：</w:t>
      </w:r>
    </w:p>
    <w:p w14:paraId="10EC1F29">
      <w:pPr>
        <w:rPr>
          <w:rFonts w:ascii="Times New Roman" w:hAnsi="Times New Roman" w:eastAsia="宋体" w:cs="Times New Roman"/>
        </w:rPr>
      </w:pPr>
      <w:r>
        <w:rPr>
          <w:rFonts w:ascii="Times New Roman" w:hAnsi="Times New Roman" w:eastAsia="宋体" w:cs="Times New Roman"/>
        </w:rPr>
        <w:t>2025减贫营｜巴西决赛减贫研讨会顺利举行</w:t>
      </w:r>
    </w:p>
    <w:p w14:paraId="4D742CC1">
      <w:pPr>
        <w:rPr>
          <w:rFonts w:ascii="Times New Roman" w:hAnsi="Times New Roman" w:eastAsia="宋体" w:cs="Times New Roman"/>
        </w:rPr>
      </w:pPr>
      <w:r>
        <w:fldChar w:fldCharType="begin"/>
      </w:r>
      <w:r>
        <w:instrText xml:space="preserve"> HYPERLINK "https://news.sina.com.cn/sx/2025-08-19/detail-infmntce9184598.shtml" </w:instrText>
      </w:r>
      <w:r>
        <w:fldChar w:fldCharType="separate"/>
      </w:r>
      <w:r>
        <w:rPr>
          <w:rStyle w:val="15"/>
          <w:rFonts w:ascii="Times New Roman" w:hAnsi="Times New Roman" w:eastAsia="宋体" w:cs="Times New Roman"/>
        </w:rPr>
        <w:t>https://news.sina.com.cn/sx/2025-08-19/detail-infmntce9184598.shtml</w:t>
      </w:r>
      <w:r>
        <w:rPr>
          <w:rStyle w:val="15"/>
          <w:rFonts w:ascii="Times New Roman" w:hAnsi="Times New Roman" w:eastAsia="宋体" w:cs="Times New Roman"/>
        </w:rPr>
        <w:fldChar w:fldCharType="end"/>
      </w:r>
    </w:p>
    <w:p w14:paraId="7CE5BF2D">
      <w:pPr>
        <w:rPr>
          <w:rFonts w:ascii="Times New Roman" w:hAnsi="Times New Roman" w:eastAsia="宋体" w:cs="Times New Roman"/>
        </w:rPr>
      </w:pPr>
    </w:p>
    <w:p w14:paraId="14E4241A">
      <w:pPr>
        <w:rPr>
          <w:rFonts w:ascii="Times New Roman" w:hAnsi="Times New Roman" w:eastAsia="宋体" w:cs="Times New Roman"/>
        </w:rPr>
      </w:pPr>
      <w:r>
        <w:rPr>
          <w:rFonts w:ascii="Times New Roman" w:hAnsi="Times New Roman" w:eastAsia="宋体" w:cs="Times New Roman"/>
        </w:rPr>
        <w:t>新华网葡萄牙文网站：</w:t>
      </w:r>
    </w:p>
    <w:p w14:paraId="0F49AB93">
      <w:pPr>
        <w:rPr>
          <w:rFonts w:ascii="Times New Roman" w:hAnsi="Times New Roman" w:eastAsia="宋体" w:cs="Times New Roman"/>
        </w:rPr>
      </w:pPr>
      <w:r>
        <w:rPr>
          <w:rFonts w:ascii="Times New Roman" w:hAnsi="Times New Roman" w:eastAsia="宋体" w:cs="Times New Roman"/>
        </w:rPr>
        <w:t>来自中国和拉丁美洲的青年在巴西的“2025减贫营”中应对全球挑战</w:t>
      </w:r>
    </w:p>
    <w:p w14:paraId="1847EDBD">
      <w:pPr>
        <w:rPr>
          <w:rFonts w:ascii="Times New Roman" w:hAnsi="Times New Roman" w:eastAsia="宋体" w:cs="Times New Roman"/>
        </w:rPr>
      </w:pPr>
      <w:r>
        <w:fldChar w:fldCharType="begin"/>
      </w:r>
      <w:r>
        <w:instrText xml:space="preserve"> HYPERLINK "https://portuguese.news.cn/20250819/03d82fb67b4a4cf9b170487b7ad07523/c.html" </w:instrText>
      </w:r>
      <w:r>
        <w:fldChar w:fldCharType="separate"/>
      </w:r>
      <w:r>
        <w:rPr>
          <w:rStyle w:val="15"/>
          <w:rFonts w:ascii="Times New Roman" w:hAnsi="Times New Roman" w:eastAsia="宋体" w:cs="Times New Roman"/>
        </w:rPr>
        <w:t>https://portuguese.news.cn/20250819/03d82fb67b4a4cf9b170487b7ad07523/c.html</w:t>
      </w:r>
      <w:r>
        <w:rPr>
          <w:rStyle w:val="15"/>
          <w:rFonts w:ascii="Times New Roman" w:hAnsi="Times New Roman" w:eastAsia="宋体" w:cs="Times New Roman"/>
        </w:rPr>
        <w:fldChar w:fldCharType="end"/>
      </w:r>
    </w:p>
    <w:p w14:paraId="1A781C24">
      <w:pPr>
        <w:rPr>
          <w:rFonts w:ascii="Times New Roman" w:hAnsi="Times New Roman" w:eastAsia="宋体" w:cs="Times New Roman"/>
        </w:rPr>
      </w:pPr>
    </w:p>
    <w:p w14:paraId="0CDC5890">
      <w:pPr>
        <w:rPr>
          <w:rFonts w:ascii="Times New Roman" w:hAnsi="Times New Roman" w:eastAsia="宋体" w:cs="Times New Roman"/>
        </w:rPr>
      </w:pPr>
      <w:r>
        <w:rPr>
          <w:rFonts w:hint="eastAsia" w:ascii="Times New Roman" w:hAnsi="Times New Roman" w:eastAsia="宋体" w:cs="Times New Roman"/>
        </w:rPr>
        <w:t>搜狐网：</w:t>
      </w:r>
    </w:p>
    <w:p w14:paraId="7C3E4AB9">
      <w:pPr>
        <w:rPr>
          <w:rFonts w:ascii="Times New Roman" w:hAnsi="Times New Roman" w:eastAsia="宋体" w:cs="Times New Roman"/>
        </w:rPr>
      </w:pPr>
      <w:r>
        <w:rPr>
          <w:rFonts w:ascii="Times New Roman" w:hAnsi="Times New Roman" w:eastAsia="宋体" w:cs="Times New Roman"/>
        </w:rPr>
        <w:t>2025减贫营｜巴西决赛减贫研讨会顺利举行</w:t>
      </w:r>
    </w:p>
    <w:p w14:paraId="7CC5A72B">
      <w:pPr>
        <w:rPr>
          <w:rFonts w:ascii="Times New Roman" w:hAnsi="Times New Roman" w:eastAsia="宋体" w:cs="Times New Roman"/>
        </w:rPr>
      </w:pPr>
      <w:r>
        <w:fldChar w:fldCharType="begin"/>
      </w:r>
      <w:r>
        <w:instrText xml:space="preserve"> HYPERLINK "https://www.sohu.com/na/926280613_120183890" </w:instrText>
      </w:r>
      <w:r>
        <w:fldChar w:fldCharType="separate"/>
      </w:r>
      <w:r>
        <w:rPr>
          <w:rStyle w:val="15"/>
          <w:rFonts w:ascii="Times New Roman" w:hAnsi="Times New Roman" w:eastAsia="宋体" w:cs="Times New Roman"/>
        </w:rPr>
        <w:t>https://www.sohu.com/na/926280613_120183890</w:t>
      </w:r>
      <w:r>
        <w:rPr>
          <w:rStyle w:val="15"/>
          <w:rFonts w:ascii="Times New Roman" w:hAnsi="Times New Roman" w:eastAsia="宋体" w:cs="Times New Roman"/>
        </w:rPr>
        <w:fldChar w:fldCharType="end"/>
      </w:r>
    </w:p>
    <w:p w14:paraId="45AB2883">
      <w:pPr>
        <w:rPr>
          <w:rFonts w:ascii="Times New Roman" w:hAnsi="Times New Roman" w:eastAsia="宋体" w:cs="Times New Roman"/>
        </w:rPr>
      </w:pPr>
    </w:p>
    <w:p w14:paraId="523E0839">
      <w:pPr>
        <w:rPr>
          <w:rFonts w:ascii="Times New Roman" w:hAnsi="Times New Roman" w:eastAsia="宋体" w:cs="Times New Roman"/>
        </w:rPr>
      </w:pPr>
      <w:r>
        <w:rPr>
          <w:rFonts w:hint="eastAsia" w:ascii="Times New Roman" w:hAnsi="Times New Roman" w:eastAsia="宋体" w:cs="Times New Roman"/>
        </w:rPr>
        <w:t>艾瑞网：</w:t>
      </w:r>
    </w:p>
    <w:p w14:paraId="30CE5C5B">
      <w:pPr>
        <w:rPr>
          <w:rFonts w:ascii="Times New Roman" w:hAnsi="Times New Roman" w:eastAsia="宋体" w:cs="Times New Roman"/>
        </w:rPr>
      </w:pPr>
      <w:r>
        <w:rPr>
          <w:rFonts w:ascii="Times New Roman" w:hAnsi="Times New Roman" w:eastAsia="宋体" w:cs="Times New Roman"/>
        </w:rPr>
        <w:t>2025减贫营｜巴西决赛减贫研讨会顺利举行</w:t>
      </w:r>
    </w:p>
    <w:p w14:paraId="77B9ED3E">
      <w:pPr>
        <w:rPr>
          <w:rFonts w:ascii="Times New Roman" w:hAnsi="Times New Roman" w:eastAsia="宋体" w:cs="Times New Roman"/>
        </w:rPr>
      </w:pPr>
      <w:r>
        <w:fldChar w:fldCharType="begin"/>
      </w:r>
      <w:r>
        <w:instrText xml:space="preserve"> HYPERLINK "https://news.iresearch.cn/yx/2025/08/532007.shtml" </w:instrText>
      </w:r>
      <w:r>
        <w:fldChar w:fldCharType="separate"/>
      </w:r>
      <w:r>
        <w:rPr>
          <w:rStyle w:val="15"/>
          <w:rFonts w:ascii="Times New Roman" w:hAnsi="Times New Roman" w:eastAsia="宋体" w:cs="Times New Roman"/>
        </w:rPr>
        <w:t>https://news.iresearch.cn/yx/2025/08/532007.shtml</w:t>
      </w:r>
      <w:r>
        <w:rPr>
          <w:rStyle w:val="15"/>
          <w:rFonts w:ascii="Times New Roman" w:hAnsi="Times New Roman" w:eastAsia="宋体" w:cs="Times New Roman"/>
        </w:rPr>
        <w:fldChar w:fldCharType="end"/>
      </w:r>
    </w:p>
    <w:p w14:paraId="32CF49BA">
      <w:pPr>
        <w:rPr>
          <w:rFonts w:ascii="Times New Roman" w:hAnsi="Times New Roman" w:eastAsia="宋体" w:cs="Times New Roman"/>
        </w:rPr>
      </w:pPr>
    </w:p>
    <w:p w14:paraId="554C351E">
      <w:pPr>
        <w:rPr>
          <w:rFonts w:ascii="Times New Roman" w:hAnsi="Times New Roman" w:eastAsia="宋体" w:cs="Times New Roman"/>
        </w:rPr>
      </w:pPr>
      <w:r>
        <w:rPr>
          <w:rFonts w:hint="eastAsia" w:ascii="Times New Roman" w:hAnsi="Times New Roman" w:eastAsia="宋体" w:cs="Times New Roman"/>
        </w:rPr>
        <w:t>环球教育在线：</w:t>
      </w:r>
    </w:p>
    <w:p w14:paraId="679EA3DA">
      <w:pPr>
        <w:rPr>
          <w:rFonts w:ascii="Times New Roman" w:hAnsi="Times New Roman" w:eastAsia="宋体" w:cs="Times New Roman"/>
        </w:rPr>
      </w:pPr>
      <w:r>
        <w:rPr>
          <w:rFonts w:ascii="Times New Roman" w:hAnsi="Times New Roman" w:eastAsia="宋体" w:cs="Times New Roman"/>
        </w:rPr>
        <w:t>2025减贫营｜巴西决赛减贫研讨会顺利举行</w:t>
      </w:r>
    </w:p>
    <w:p w14:paraId="4C00C7DF">
      <w:pPr>
        <w:rPr>
          <w:rFonts w:ascii="Times New Roman" w:hAnsi="Times New Roman" w:eastAsia="宋体" w:cs="Times New Roman"/>
        </w:rPr>
      </w:pPr>
      <w:r>
        <w:fldChar w:fldCharType="begin"/>
      </w:r>
      <w:r>
        <w:instrText xml:space="preserve"> HYPERLINK "http://www.lrkygt.cn/edu/20250820235.html" </w:instrText>
      </w:r>
      <w:r>
        <w:fldChar w:fldCharType="separate"/>
      </w:r>
      <w:r>
        <w:rPr>
          <w:rStyle w:val="15"/>
          <w:rFonts w:ascii="Times New Roman" w:hAnsi="Times New Roman" w:eastAsia="宋体" w:cs="Times New Roman"/>
        </w:rPr>
        <w:t>http://www.lrkygt.cn/edu/20250820235.html</w:t>
      </w:r>
      <w:r>
        <w:rPr>
          <w:rStyle w:val="15"/>
          <w:rFonts w:ascii="Times New Roman" w:hAnsi="Times New Roman" w:eastAsia="宋体" w:cs="Times New Roman"/>
        </w:rPr>
        <w:fldChar w:fldCharType="end"/>
      </w:r>
    </w:p>
    <w:p w14:paraId="5500A282">
      <w:pPr>
        <w:rPr>
          <w:rFonts w:ascii="Times New Roman" w:hAnsi="Times New Roman" w:eastAsia="宋体" w:cs="Times New Roman"/>
        </w:rPr>
      </w:pPr>
    </w:p>
    <w:p w14:paraId="14672FAB">
      <w:pPr>
        <w:rPr>
          <w:rFonts w:ascii="Times New Roman" w:hAnsi="Times New Roman" w:eastAsia="宋体" w:cs="Times New Roman"/>
        </w:rPr>
      </w:pPr>
      <w:r>
        <w:rPr>
          <w:rFonts w:hint="eastAsia" w:ascii="Times New Roman" w:hAnsi="Times New Roman" w:eastAsia="宋体" w:cs="Times New Roman"/>
        </w:rPr>
        <w:t>“清华大学拉美中心”公众号：</w:t>
      </w:r>
    </w:p>
    <w:p w14:paraId="559C6FD0">
      <w:pPr>
        <w:rPr>
          <w:rFonts w:ascii="Times New Roman" w:hAnsi="Times New Roman" w:eastAsia="宋体" w:cs="Times New Roman"/>
        </w:rPr>
      </w:pPr>
      <w:r>
        <w:rPr>
          <w:rFonts w:hint="eastAsia" w:ascii="Times New Roman" w:hAnsi="Times New Roman" w:eastAsia="宋体" w:cs="Times New Roman"/>
        </w:rPr>
        <w:t>“中拉青年应对全球挑战——</w:t>
      </w:r>
      <w:r>
        <w:rPr>
          <w:rFonts w:ascii="Times New Roman" w:hAnsi="Times New Roman" w:eastAsia="宋体" w:cs="Times New Roman"/>
        </w:rPr>
        <w:t>2025减贫营”巴西决赛开幕式和破冰环节</w:t>
      </w:r>
    </w:p>
    <w:p w14:paraId="6D7A5D58">
      <w:pPr>
        <w:rPr>
          <w:rFonts w:ascii="Times New Roman" w:hAnsi="Times New Roman" w:eastAsia="宋体" w:cs="Times New Roman"/>
        </w:rPr>
      </w:pPr>
      <w:r>
        <w:fldChar w:fldCharType="begin"/>
      </w:r>
      <w:r>
        <w:instrText xml:space="preserve"> HYPERLINK "https://mp.weixin.qq.com/s/8elcol9KTFy-aEVYg01tag" </w:instrText>
      </w:r>
      <w:r>
        <w:fldChar w:fldCharType="separate"/>
      </w:r>
      <w:r>
        <w:rPr>
          <w:rStyle w:val="15"/>
          <w:rFonts w:ascii="Times New Roman" w:hAnsi="Times New Roman" w:eastAsia="宋体" w:cs="Times New Roman"/>
        </w:rPr>
        <w:t>https://mp.weixin.qq.com/s/8elcol9KTFy-aEVYg01tag</w:t>
      </w:r>
      <w:r>
        <w:rPr>
          <w:rStyle w:val="15"/>
          <w:rFonts w:ascii="Times New Roman" w:hAnsi="Times New Roman" w:eastAsia="宋体" w:cs="Times New Roman"/>
        </w:rPr>
        <w:fldChar w:fldCharType="end"/>
      </w:r>
    </w:p>
    <w:p w14:paraId="0A5BF08F">
      <w:pPr>
        <w:rPr>
          <w:rFonts w:ascii="Times New Roman" w:hAnsi="Times New Roman" w:eastAsia="宋体" w:cs="Times New Roman"/>
        </w:rPr>
      </w:pPr>
    </w:p>
    <w:p w14:paraId="04284D88">
      <w:pPr>
        <w:rPr>
          <w:rFonts w:ascii="Times New Roman" w:hAnsi="Times New Roman" w:eastAsia="宋体" w:cs="Times New Roman"/>
        </w:rPr>
      </w:pPr>
      <w:r>
        <w:rPr>
          <w:rFonts w:hint="eastAsia" w:ascii="Times New Roman" w:hAnsi="Times New Roman" w:eastAsia="宋体" w:cs="Times New Roman"/>
        </w:rPr>
        <w:t>“清华大学拉美中心”公众号：</w:t>
      </w:r>
    </w:p>
    <w:p w14:paraId="19331AFF">
      <w:pPr>
        <w:rPr>
          <w:rFonts w:ascii="Times New Roman" w:hAnsi="Times New Roman" w:eastAsia="宋体" w:cs="Times New Roman"/>
        </w:rPr>
      </w:pPr>
      <w:r>
        <w:rPr>
          <w:rFonts w:ascii="Times New Roman" w:hAnsi="Times New Roman" w:eastAsia="宋体" w:cs="Times New Roman"/>
        </w:rPr>
        <w:t>2025减贫营巴西决赛｜参访里约热内卢科帕卡巴纳要塞乐团</w:t>
      </w:r>
    </w:p>
    <w:p w14:paraId="589F7224">
      <w:pPr>
        <w:rPr>
          <w:rFonts w:ascii="Times New Roman" w:hAnsi="Times New Roman" w:eastAsia="宋体" w:cs="Times New Roman"/>
        </w:rPr>
      </w:pPr>
      <w:r>
        <w:fldChar w:fldCharType="begin"/>
      </w:r>
      <w:r>
        <w:instrText xml:space="preserve"> HYPERLINK "https://mp.weixin.qq.com/s/NtAy5AfmN7NyvLAx3IuyhA" </w:instrText>
      </w:r>
      <w:r>
        <w:fldChar w:fldCharType="separate"/>
      </w:r>
      <w:r>
        <w:rPr>
          <w:rStyle w:val="15"/>
          <w:rFonts w:ascii="Times New Roman" w:hAnsi="Times New Roman" w:eastAsia="宋体" w:cs="Times New Roman"/>
        </w:rPr>
        <w:t>https://mp.weixin.qq.com/s/NtAy5AfmN7NyvLAx3IuyhA</w:t>
      </w:r>
      <w:r>
        <w:rPr>
          <w:rStyle w:val="15"/>
          <w:rFonts w:ascii="Times New Roman" w:hAnsi="Times New Roman" w:eastAsia="宋体" w:cs="Times New Roman"/>
        </w:rPr>
        <w:fldChar w:fldCharType="end"/>
      </w:r>
    </w:p>
    <w:p w14:paraId="77EAB02F">
      <w:pPr>
        <w:rPr>
          <w:rFonts w:ascii="Times New Roman" w:hAnsi="Times New Roman" w:eastAsia="宋体" w:cs="Times New Roman"/>
        </w:rPr>
      </w:pPr>
    </w:p>
    <w:p w14:paraId="0175E481">
      <w:pPr>
        <w:rPr>
          <w:rFonts w:ascii="Times New Roman" w:hAnsi="Times New Roman" w:eastAsia="宋体" w:cs="Times New Roman"/>
        </w:rPr>
      </w:pPr>
      <w:r>
        <w:rPr>
          <w:rFonts w:hint="eastAsia" w:ascii="Times New Roman" w:hAnsi="Times New Roman" w:eastAsia="宋体" w:cs="Times New Roman"/>
        </w:rPr>
        <w:t>“清华大学拉美中心”公众号：</w:t>
      </w:r>
    </w:p>
    <w:p w14:paraId="22CBCBDB">
      <w:pPr>
        <w:rPr>
          <w:rFonts w:ascii="Times New Roman" w:hAnsi="Times New Roman" w:eastAsia="宋体" w:cs="Times New Roman"/>
        </w:rPr>
      </w:pPr>
      <w:r>
        <w:rPr>
          <w:rFonts w:ascii="Times New Roman" w:hAnsi="Times New Roman" w:eastAsia="宋体" w:cs="Times New Roman"/>
        </w:rPr>
        <w:t>2025减贫营｜巴西决赛减贫研讨会顺利举行</w:t>
      </w:r>
    </w:p>
    <w:p w14:paraId="7F5863BA">
      <w:pPr>
        <w:rPr>
          <w:rFonts w:ascii="Times New Roman" w:hAnsi="Times New Roman" w:eastAsia="宋体" w:cs="Times New Roman"/>
        </w:rPr>
      </w:pPr>
      <w:r>
        <w:fldChar w:fldCharType="begin"/>
      </w:r>
      <w:r>
        <w:instrText xml:space="preserve"> HYPERLINK "https://mp.weixin.qq.com/s/Ylgw_8nB539v3HOR993yUA" </w:instrText>
      </w:r>
      <w:r>
        <w:fldChar w:fldCharType="separate"/>
      </w:r>
      <w:r>
        <w:rPr>
          <w:rStyle w:val="15"/>
          <w:rFonts w:ascii="Times New Roman" w:hAnsi="Times New Roman" w:eastAsia="宋体" w:cs="Times New Roman"/>
        </w:rPr>
        <w:t>https://mp.weixin.qq.com/s/Ylgw_8nB539v3HOR993yUA</w:t>
      </w:r>
      <w:r>
        <w:rPr>
          <w:rStyle w:val="15"/>
          <w:rFonts w:ascii="Times New Roman" w:hAnsi="Times New Roman" w:eastAsia="宋体" w:cs="Times New Roman"/>
        </w:rPr>
        <w:fldChar w:fldCharType="end"/>
      </w:r>
    </w:p>
    <w:p w14:paraId="7CF6D3BC">
      <w:pPr>
        <w:rPr>
          <w:rFonts w:ascii="Times New Roman" w:hAnsi="Times New Roman" w:eastAsia="宋体" w:cs="Times New Roman"/>
        </w:rPr>
      </w:pPr>
    </w:p>
    <w:p w14:paraId="2425D0F4">
      <w:pPr>
        <w:rPr>
          <w:rFonts w:ascii="Times New Roman" w:hAnsi="Times New Roman" w:eastAsia="宋体" w:cs="Times New Roman"/>
        </w:rPr>
      </w:pPr>
      <w:r>
        <w:rPr>
          <w:rFonts w:hint="eastAsia" w:ascii="Times New Roman" w:hAnsi="Times New Roman" w:eastAsia="宋体" w:cs="Times New Roman"/>
        </w:rPr>
        <w:t>“清华大学拉美中心”公众号：</w:t>
      </w:r>
    </w:p>
    <w:p w14:paraId="59CDEBA5">
      <w:pPr>
        <w:rPr>
          <w:rFonts w:ascii="Times New Roman" w:hAnsi="Times New Roman" w:eastAsia="宋体" w:cs="Times New Roman"/>
        </w:rPr>
      </w:pPr>
      <w:r>
        <w:rPr>
          <w:rFonts w:ascii="Times New Roman" w:hAnsi="Times New Roman" w:eastAsia="宋体" w:cs="Times New Roman"/>
        </w:rPr>
        <w:t>2025减贫营｜巴西决赛辅导环节顺利举行</w:t>
      </w:r>
    </w:p>
    <w:p w14:paraId="4BD5EBF6">
      <w:pPr>
        <w:rPr>
          <w:rFonts w:ascii="Times New Roman" w:hAnsi="Times New Roman" w:eastAsia="宋体" w:cs="Times New Roman"/>
        </w:rPr>
      </w:pPr>
      <w:r>
        <w:fldChar w:fldCharType="begin"/>
      </w:r>
      <w:r>
        <w:instrText xml:space="preserve"> HYPERLINK "https://mp.weixin.qq.com/s/CaJCv82phrpeVA5BDl_XXQ" </w:instrText>
      </w:r>
      <w:r>
        <w:fldChar w:fldCharType="separate"/>
      </w:r>
      <w:r>
        <w:rPr>
          <w:rStyle w:val="15"/>
          <w:rFonts w:ascii="Times New Roman" w:hAnsi="Times New Roman" w:eastAsia="宋体" w:cs="Times New Roman"/>
        </w:rPr>
        <w:t>https://mp.weixin.qq.com/s/CaJCv82phrpeVA5BDl_XXQ</w:t>
      </w:r>
      <w:r>
        <w:rPr>
          <w:rStyle w:val="15"/>
          <w:rFonts w:ascii="Times New Roman" w:hAnsi="Times New Roman" w:eastAsia="宋体" w:cs="Times New Roman"/>
        </w:rPr>
        <w:fldChar w:fldCharType="end"/>
      </w:r>
    </w:p>
    <w:p w14:paraId="68CA2018">
      <w:pPr>
        <w:rPr>
          <w:rFonts w:ascii="Times New Roman" w:hAnsi="Times New Roman" w:eastAsia="宋体" w:cs="Times New Roman"/>
        </w:rPr>
      </w:pPr>
    </w:p>
    <w:p w14:paraId="2D3E2FDB">
      <w:pPr>
        <w:rPr>
          <w:rFonts w:ascii="Times New Roman" w:hAnsi="Times New Roman" w:eastAsia="宋体" w:cs="Times New Roman"/>
        </w:rPr>
      </w:pPr>
      <w:r>
        <w:rPr>
          <w:rFonts w:hint="eastAsia" w:ascii="Times New Roman" w:hAnsi="Times New Roman" w:eastAsia="宋体" w:cs="Times New Roman"/>
        </w:rPr>
        <w:t>“清华大学拉美中心”公众号：</w:t>
      </w:r>
    </w:p>
    <w:p w14:paraId="45BEB70E">
      <w:pPr>
        <w:rPr>
          <w:rFonts w:ascii="Times New Roman" w:hAnsi="Times New Roman" w:eastAsia="宋体" w:cs="Times New Roman"/>
        </w:rPr>
      </w:pPr>
      <w:r>
        <w:rPr>
          <w:rFonts w:hint="eastAsia" w:ascii="Times New Roman" w:hAnsi="Times New Roman" w:eastAsia="宋体" w:cs="Times New Roman"/>
        </w:rPr>
        <w:t>中拉青年应对全球挑战——</w:t>
      </w:r>
      <w:r>
        <w:rPr>
          <w:rFonts w:ascii="Times New Roman" w:hAnsi="Times New Roman" w:eastAsia="宋体" w:cs="Times New Roman"/>
        </w:rPr>
        <w:t>2025减贫营巴西决赛圆满举行</w:t>
      </w:r>
    </w:p>
    <w:p w14:paraId="40816D67">
      <w:pPr>
        <w:rPr>
          <w:rFonts w:ascii="Times New Roman" w:hAnsi="Times New Roman" w:eastAsia="宋体" w:cs="Times New Roman"/>
        </w:rPr>
      </w:pPr>
      <w:r>
        <w:fldChar w:fldCharType="begin"/>
      </w:r>
      <w:r>
        <w:instrText xml:space="preserve"> HYPERLINK "https://mp.weixin.qq.com/s/hNhbPzsBQ-mHGwuSQ3sTXQ" </w:instrText>
      </w:r>
      <w:r>
        <w:fldChar w:fldCharType="separate"/>
      </w:r>
      <w:r>
        <w:rPr>
          <w:rStyle w:val="15"/>
          <w:rFonts w:ascii="Times New Roman" w:hAnsi="Times New Roman" w:eastAsia="宋体" w:cs="Times New Roman"/>
        </w:rPr>
        <w:t>https://mp.weixin.qq.com/s/hNhbPzsBQ-mHGwuSQ3sTXQ</w:t>
      </w:r>
      <w:r>
        <w:rPr>
          <w:rStyle w:val="15"/>
          <w:rFonts w:ascii="Times New Roman" w:hAnsi="Times New Roman" w:eastAsia="宋体" w:cs="Times New Roman"/>
        </w:rPr>
        <w:fldChar w:fldCharType="end"/>
      </w:r>
    </w:p>
    <w:p w14:paraId="404ECFAD">
      <w:pPr>
        <w:rPr>
          <w:b/>
          <w:bCs/>
        </w:rPr>
      </w:pPr>
    </w:p>
    <w:p w14:paraId="2A81EFB9">
      <w:pPr>
        <w:rPr>
          <w:b/>
          <w:bCs/>
        </w:rPr>
      </w:pPr>
    </w:p>
    <w:p w14:paraId="55D657CF">
      <w:pPr>
        <w:spacing w:line="360" w:lineRule="auto"/>
        <w:rPr>
          <w:rFonts w:ascii="Times New Roman" w:hAnsi="Times New Roman" w:eastAsia="宋体" w:cs="Times New Roman"/>
          <w:b/>
          <w:bCs/>
          <w:color w:val="000000" w:themeColor="text1"/>
          <w14:textFill>
            <w14:solidFill>
              <w14:schemeClr w14:val="tx1"/>
            </w14:solidFill>
          </w14:textFill>
        </w:rPr>
      </w:pPr>
      <w:r>
        <w:rPr>
          <w:rFonts w:hint="eastAsia" w:ascii="Times New Roman" w:hAnsi="Times New Roman" w:eastAsia="宋体" w:cs="Times New Roman"/>
          <w:b/>
          <w:bCs/>
          <w:color w:val="000000" w:themeColor="text1"/>
          <w14:textFill>
            <w14:solidFill>
              <w14:schemeClr w14:val="tx1"/>
            </w14:solidFill>
          </w14:textFill>
        </w:rPr>
        <w:t>2. 减贫营智利决赛新闻</w:t>
      </w:r>
    </w:p>
    <w:p w14:paraId="1AF3849B">
      <w:pPr>
        <w:rPr>
          <w:rFonts w:ascii="Times New Roman" w:hAnsi="Times New Roman" w:eastAsia="宋体" w:cs="Times New Roman"/>
        </w:rPr>
      </w:pPr>
      <w:r>
        <w:rPr>
          <w:rFonts w:hint="eastAsia" w:ascii="Times New Roman" w:hAnsi="Times New Roman" w:eastAsia="宋体" w:cs="Times New Roman"/>
        </w:rPr>
        <w:t>新华网</w:t>
      </w:r>
    </w:p>
    <w:p w14:paraId="0B32F113">
      <w:pPr>
        <w:rPr>
          <w:rFonts w:ascii="Times New Roman" w:hAnsi="Times New Roman" w:eastAsia="宋体" w:cs="Times New Roman"/>
        </w:rPr>
      </w:pPr>
      <w:r>
        <w:rPr>
          <w:rFonts w:hint="eastAsia" w:ascii="Times New Roman" w:hAnsi="Times New Roman" w:eastAsia="宋体" w:cs="Times New Roman"/>
        </w:rPr>
        <w:t>拉丁美洲和中国学生推动创新项目克服贫困</w:t>
      </w:r>
    </w:p>
    <w:p w14:paraId="3C57134F">
      <w:pPr>
        <w:rPr>
          <w:rFonts w:ascii="Times New Roman" w:hAnsi="Times New Roman" w:eastAsia="宋体" w:cs="Times New Roman"/>
        </w:rPr>
      </w:pPr>
      <w:r>
        <w:fldChar w:fldCharType="begin"/>
      </w:r>
      <w:r>
        <w:instrText xml:space="preserve"> HYPERLINK "https://spanish.news.cn/20250823/3eb92feb45c1473dbe79c29535416784/c.html" </w:instrText>
      </w:r>
      <w:r>
        <w:fldChar w:fldCharType="separate"/>
      </w:r>
      <w:r>
        <w:rPr>
          <w:rStyle w:val="15"/>
          <w:rFonts w:hint="eastAsia" w:ascii="Times New Roman" w:hAnsi="Times New Roman" w:eastAsia="宋体" w:cs="Times New Roman"/>
        </w:rPr>
        <w:t>https://spanish.news.cn/20250823/3eb92feb45c1473dbe79c29535416784/c.html</w:t>
      </w:r>
      <w:r>
        <w:rPr>
          <w:rStyle w:val="15"/>
          <w:rFonts w:hint="eastAsia" w:ascii="Times New Roman" w:hAnsi="Times New Roman" w:eastAsia="宋体" w:cs="Times New Roman"/>
        </w:rPr>
        <w:fldChar w:fldCharType="end"/>
      </w:r>
    </w:p>
    <w:p w14:paraId="738C9A62">
      <w:pPr>
        <w:rPr>
          <w:rFonts w:ascii="Times New Roman" w:hAnsi="Times New Roman" w:eastAsia="宋体" w:cs="Times New Roman"/>
        </w:rPr>
      </w:pPr>
      <w:r>
        <w:fldChar w:fldCharType="begin"/>
      </w:r>
      <w:r>
        <w:instrText xml:space="preserve"> HYPERLINK "https://youtu.be/1XsBCgh0UcA?si=z9xkp82CX-r6GukN" </w:instrText>
      </w:r>
      <w:r>
        <w:fldChar w:fldCharType="separate"/>
      </w:r>
      <w:r>
        <w:rPr>
          <w:rStyle w:val="15"/>
          <w:rFonts w:ascii="Times New Roman" w:hAnsi="Times New Roman" w:eastAsia="宋体" w:cs="Times New Roman"/>
        </w:rPr>
        <w:t>https://youtu.be/1XsBCgh0UcA?si=z9xkp82CX-r6GukN</w:t>
      </w:r>
      <w:r>
        <w:rPr>
          <w:rStyle w:val="15"/>
          <w:rFonts w:ascii="Times New Roman" w:hAnsi="Times New Roman" w:eastAsia="宋体" w:cs="Times New Roman"/>
        </w:rPr>
        <w:fldChar w:fldCharType="end"/>
      </w:r>
    </w:p>
    <w:p w14:paraId="740B95E3">
      <w:pPr>
        <w:rPr>
          <w:rFonts w:ascii="Times New Roman" w:hAnsi="Times New Roman" w:eastAsia="宋体" w:cs="Times New Roman"/>
        </w:rPr>
      </w:pPr>
    </w:p>
    <w:p w14:paraId="7B822211">
      <w:pPr>
        <w:rPr>
          <w:rFonts w:ascii="Times New Roman" w:hAnsi="Times New Roman" w:eastAsia="宋体" w:cs="Times New Roman"/>
        </w:rPr>
      </w:pPr>
      <w:r>
        <w:rPr>
          <w:rFonts w:hint="eastAsia" w:ascii="Times New Roman" w:hAnsi="Times New Roman" w:eastAsia="宋体" w:cs="Times New Roman"/>
        </w:rPr>
        <w:t>京报网</w:t>
      </w:r>
    </w:p>
    <w:p w14:paraId="4A61E913">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中拉青年应对全球挑战——2025减贫营智利决赛圆满举行</w:t>
      </w:r>
    </w:p>
    <w:p w14:paraId="29376455">
      <w:pPr>
        <w:rPr>
          <w:rFonts w:ascii="Times New Roman" w:hAnsi="Times New Roman" w:eastAsia="宋体" w:cs="Times New Roman"/>
        </w:rPr>
      </w:pPr>
      <w:r>
        <w:fldChar w:fldCharType="begin"/>
      </w:r>
      <w:r>
        <w:instrText xml:space="preserve"> HYPERLINK "https://news.bjd.com.cn/2025/08/29/11288883.shtml" </w:instrText>
      </w:r>
      <w:r>
        <w:fldChar w:fldCharType="separate"/>
      </w:r>
      <w:r>
        <w:rPr>
          <w:rStyle w:val="15"/>
          <w:rFonts w:ascii="Times New Roman" w:hAnsi="Times New Roman" w:eastAsia="宋体" w:cs="Times New Roman"/>
        </w:rPr>
        <w:t>https://news.bjd.com.cn/2025/08/29/11288883.shtml</w:t>
      </w:r>
      <w:r>
        <w:rPr>
          <w:rStyle w:val="15"/>
          <w:rFonts w:ascii="Times New Roman" w:hAnsi="Times New Roman" w:eastAsia="宋体" w:cs="Times New Roman"/>
        </w:rPr>
        <w:fldChar w:fldCharType="end"/>
      </w:r>
    </w:p>
    <w:p w14:paraId="4D10CFF8">
      <w:pPr>
        <w:rPr>
          <w:rFonts w:ascii="Times New Roman" w:hAnsi="Times New Roman" w:eastAsia="宋体" w:cs="Times New Roman"/>
        </w:rPr>
      </w:pPr>
    </w:p>
    <w:p w14:paraId="190734B0">
      <w:pPr>
        <w:rPr>
          <w:rFonts w:ascii="Times New Roman" w:hAnsi="Times New Roman" w:eastAsia="宋体" w:cs="Times New Roman"/>
        </w:rPr>
      </w:pPr>
      <w:r>
        <w:rPr>
          <w:rFonts w:hint="eastAsia" w:ascii="Times New Roman" w:hAnsi="Times New Roman" w:eastAsia="宋体" w:cs="Times New Roman"/>
        </w:rPr>
        <w:t>凤凰新闻客户端</w:t>
      </w:r>
    </w:p>
    <w:p w14:paraId="447D0460">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中拉青年应对全球挑战——2025减贫营｜智利决赛减贫研讨会顺利举行</w:t>
      </w:r>
    </w:p>
    <w:p w14:paraId="0B1DB8CF">
      <w:pPr>
        <w:rPr>
          <w:rFonts w:ascii="Times New Roman" w:hAnsi="Times New Roman" w:eastAsia="宋体" w:cs="Times New Roman"/>
        </w:rPr>
      </w:pPr>
      <w:r>
        <w:fldChar w:fldCharType="begin"/>
      </w:r>
      <w:r>
        <w:instrText xml:space="preserve"> HYPERLINK "https://ishare.ifeng.com/c/s/8mD1HKZNg1X" </w:instrText>
      </w:r>
      <w:r>
        <w:fldChar w:fldCharType="separate"/>
      </w:r>
      <w:r>
        <w:rPr>
          <w:rStyle w:val="15"/>
          <w:rFonts w:ascii="Times New Roman" w:hAnsi="Times New Roman" w:eastAsia="宋体" w:cs="Times New Roman"/>
        </w:rPr>
        <w:t>https://ishare.ifeng.com/c/s/8mD1HKZNg1X</w:t>
      </w:r>
      <w:r>
        <w:rPr>
          <w:rStyle w:val="15"/>
          <w:rFonts w:ascii="Times New Roman" w:hAnsi="Times New Roman" w:eastAsia="宋体" w:cs="Times New Roman"/>
        </w:rPr>
        <w:fldChar w:fldCharType="end"/>
      </w:r>
    </w:p>
    <w:p w14:paraId="0E47A030">
      <w:pPr>
        <w:rPr>
          <w:rFonts w:ascii="Times New Roman" w:hAnsi="Times New Roman" w:eastAsia="宋体" w:cs="Times New Roman"/>
        </w:rPr>
      </w:pPr>
    </w:p>
    <w:p w14:paraId="6CD913BF">
      <w:pPr>
        <w:rPr>
          <w:rFonts w:ascii="Times New Roman" w:hAnsi="Times New Roman" w:eastAsia="宋体" w:cs="Times New Roman"/>
        </w:rPr>
      </w:pPr>
      <w:r>
        <w:rPr>
          <w:rFonts w:hint="eastAsia" w:ascii="Times New Roman" w:hAnsi="Times New Roman" w:eastAsia="宋体" w:cs="Times New Roman"/>
        </w:rPr>
        <w:t>中国教育导报网</w:t>
      </w:r>
    </w:p>
    <w:p w14:paraId="5ED77D12">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中拉青年应对全球挑战——2025减贫营智利决赛圆满举行</w:t>
      </w:r>
    </w:p>
    <w:p w14:paraId="0BE610F5">
      <w:pPr>
        <w:rPr>
          <w:rFonts w:ascii="Times New Roman" w:hAnsi="Times New Roman" w:eastAsia="宋体" w:cs="Times New Roman"/>
        </w:rPr>
      </w:pPr>
      <w:r>
        <w:fldChar w:fldCharType="begin"/>
      </w:r>
      <w:r>
        <w:instrText xml:space="preserve"> HYPERLINK "http://www.cermedu.com.cn/roll/202508/0R91Z242025.html" </w:instrText>
      </w:r>
      <w:r>
        <w:fldChar w:fldCharType="separate"/>
      </w:r>
      <w:r>
        <w:rPr>
          <w:rStyle w:val="15"/>
          <w:rFonts w:ascii="Times New Roman" w:hAnsi="Times New Roman" w:eastAsia="宋体" w:cs="Times New Roman"/>
        </w:rPr>
        <w:t>http://www.cermedu.com.cn/roll/202508/0R91Z242025.html</w:t>
      </w:r>
      <w:r>
        <w:rPr>
          <w:rStyle w:val="15"/>
          <w:rFonts w:ascii="Times New Roman" w:hAnsi="Times New Roman" w:eastAsia="宋体" w:cs="Times New Roman"/>
        </w:rPr>
        <w:fldChar w:fldCharType="end"/>
      </w:r>
    </w:p>
    <w:p w14:paraId="14252C52">
      <w:pPr>
        <w:rPr>
          <w:rFonts w:ascii="Times New Roman" w:hAnsi="Times New Roman" w:eastAsia="宋体" w:cs="Times New Roman"/>
        </w:rPr>
      </w:pPr>
    </w:p>
    <w:p w14:paraId="71220ACC">
      <w:pPr>
        <w:rPr>
          <w:rFonts w:ascii="Times New Roman" w:hAnsi="Times New Roman" w:eastAsia="宋体" w:cs="Times New Roman"/>
        </w:rPr>
      </w:pPr>
      <w:r>
        <w:rPr>
          <w:rFonts w:hint="eastAsia" w:ascii="Times New Roman" w:hAnsi="Times New Roman" w:eastAsia="宋体" w:cs="Times New Roman"/>
        </w:rPr>
        <w:t>中华网</w:t>
      </w:r>
    </w:p>
    <w:p w14:paraId="4205191D">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中拉青年应对全球挑战——2025减贫营｜智利决赛减贫研讨会顺利举行</w:t>
      </w:r>
    </w:p>
    <w:p w14:paraId="58A141AE">
      <w:pPr>
        <w:rPr>
          <w:rFonts w:ascii="Times New Roman" w:hAnsi="Times New Roman" w:eastAsia="宋体" w:cs="Times New Roman"/>
        </w:rPr>
      </w:pPr>
      <w:r>
        <w:fldChar w:fldCharType="begin"/>
      </w:r>
      <w:r>
        <w:instrText xml:space="preserve"> HYPERLINK "https://m.life.china.com/2025-08/29/content_480947.html" </w:instrText>
      </w:r>
      <w:r>
        <w:fldChar w:fldCharType="separate"/>
      </w:r>
      <w:r>
        <w:rPr>
          <w:rStyle w:val="15"/>
          <w:rFonts w:ascii="Times New Roman" w:hAnsi="Times New Roman" w:eastAsia="宋体" w:cs="Times New Roman"/>
        </w:rPr>
        <w:t>https://m.life.china.com/2025-08/29/content_480947.html</w:t>
      </w:r>
      <w:r>
        <w:rPr>
          <w:rStyle w:val="15"/>
          <w:rFonts w:ascii="Times New Roman" w:hAnsi="Times New Roman" w:eastAsia="宋体" w:cs="Times New Roman"/>
        </w:rPr>
        <w:fldChar w:fldCharType="end"/>
      </w:r>
    </w:p>
    <w:p w14:paraId="3D618960">
      <w:pPr>
        <w:rPr>
          <w:rFonts w:ascii="Times New Roman" w:hAnsi="Times New Roman" w:eastAsia="宋体" w:cs="Times New Roman"/>
        </w:rPr>
      </w:pPr>
    </w:p>
    <w:p w14:paraId="61E0078F">
      <w:pPr>
        <w:rPr>
          <w:rFonts w:ascii="Times New Roman" w:hAnsi="Times New Roman" w:eastAsia="宋体" w:cs="Times New Roman"/>
        </w:rPr>
      </w:pPr>
      <w:r>
        <w:rPr>
          <w:rFonts w:hint="eastAsia" w:ascii="Times New Roman" w:hAnsi="Times New Roman" w:eastAsia="宋体" w:cs="Times New Roman"/>
        </w:rPr>
        <w:t>千龙网</w:t>
      </w:r>
    </w:p>
    <w:p w14:paraId="6A8ED110">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中拉青年应对全球挑战——2025减贫营｜智利决赛减贫研讨会顺利举行</w:t>
      </w:r>
    </w:p>
    <w:p w14:paraId="03F74408">
      <w:pPr>
        <w:rPr>
          <w:rFonts w:ascii="Times New Roman" w:hAnsi="Times New Roman" w:eastAsia="宋体" w:cs="Times New Roman"/>
        </w:rPr>
      </w:pPr>
      <w:r>
        <w:fldChar w:fldCharType="begin"/>
      </w:r>
      <w:r>
        <w:instrText xml:space="preserve"> HYPERLINK "https://china.qianlong.com/2025/0829/8546220.shtml" </w:instrText>
      </w:r>
      <w:r>
        <w:fldChar w:fldCharType="separate"/>
      </w:r>
      <w:r>
        <w:rPr>
          <w:rStyle w:val="15"/>
          <w:rFonts w:ascii="Times New Roman" w:hAnsi="Times New Roman" w:eastAsia="宋体" w:cs="Times New Roman"/>
        </w:rPr>
        <w:t>https://china.qianlong.com/2025/0829/8546220.shtml</w:t>
      </w:r>
      <w:r>
        <w:rPr>
          <w:rStyle w:val="15"/>
          <w:rFonts w:ascii="Times New Roman" w:hAnsi="Times New Roman" w:eastAsia="宋体" w:cs="Times New Roman"/>
        </w:rPr>
        <w:fldChar w:fldCharType="end"/>
      </w:r>
    </w:p>
    <w:p w14:paraId="3FF9ABFE">
      <w:pPr>
        <w:rPr>
          <w:rFonts w:ascii="Times New Roman" w:hAnsi="Times New Roman" w:eastAsia="宋体" w:cs="Times New Roman"/>
        </w:rPr>
      </w:pPr>
    </w:p>
    <w:p w14:paraId="6847F4E1">
      <w:pPr>
        <w:rPr>
          <w:rFonts w:ascii="Times New Roman" w:hAnsi="Times New Roman" w:eastAsia="宋体" w:cs="Times New Roman"/>
        </w:rPr>
      </w:pPr>
      <w:r>
        <w:rPr>
          <w:rFonts w:hint="eastAsia" w:ascii="Times New Roman" w:hAnsi="Times New Roman" w:eastAsia="宋体" w:cs="Times New Roman"/>
        </w:rPr>
        <w:t>中国日报网</w:t>
      </w:r>
    </w:p>
    <w:p w14:paraId="2B8A5220">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中拉青年应对全球挑战——2025减贫营智利决赛圆满举行</w:t>
      </w:r>
    </w:p>
    <w:p w14:paraId="747D6F29">
      <w:pPr>
        <w:rPr>
          <w:rFonts w:ascii="Times New Roman" w:hAnsi="Times New Roman" w:eastAsia="宋体" w:cs="Times New Roman"/>
        </w:rPr>
      </w:pPr>
      <w:r>
        <w:fldChar w:fldCharType="begin"/>
      </w:r>
      <w:r>
        <w:instrText xml:space="preserve"> HYPERLINK "https://caijing.chinadaily.com.cn/a/202508/29/WS68b166dba310f07257745b17.html" </w:instrText>
      </w:r>
      <w:r>
        <w:fldChar w:fldCharType="separate"/>
      </w:r>
      <w:r>
        <w:rPr>
          <w:rStyle w:val="15"/>
          <w:rFonts w:ascii="Times New Roman" w:hAnsi="Times New Roman" w:eastAsia="宋体" w:cs="Times New Roman"/>
        </w:rPr>
        <w:t>https://caijing.chinadaily.com.cn/a/202508/29/WS68b166dba310f07257745b17.html</w:t>
      </w:r>
      <w:r>
        <w:rPr>
          <w:rStyle w:val="15"/>
          <w:rFonts w:ascii="Times New Roman" w:hAnsi="Times New Roman" w:eastAsia="宋体" w:cs="Times New Roman"/>
        </w:rPr>
        <w:fldChar w:fldCharType="end"/>
      </w:r>
    </w:p>
    <w:p w14:paraId="0B1E7A6C">
      <w:pPr>
        <w:rPr>
          <w:rFonts w:ascii="Times New Roman" w:hAnsi="Times New Roman" w:eastAsia="宋体" w:cs="Times New Roman"/>
        </w:rPr>
      </w:pPr>
    </w:p>
    <w:p w14:paraId="2B4B44E5">
      <w:pPr>
        <w:rPr>
          <w:rFonts w:ascii="Times New Roman" w:hAnsi="Times New Roman" w:eastAsia="宋体" w:cs="Times New Roman"/>
        </w:rPr>
      </w:pPr>
      <w:r>
        <w:rPr>
          <w:rFonts w:hint="eastAsia" w:ascii="Times New Roman" w:hAnsi="Times New Roman" w:eastAsia="宋体" w:cs="Times New Roman"/>
        </w:rPr>
        <w:t>腾讯网</w:t>
      </w:r>
    </w:p>
    <w:p w14:paraId="019EDFDC">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中拉青年应对全球挑战——2025减贫营智利决赛圆满举行</w:t>
      </w:r>
    </w:p>
    <w:p w14:paraId="46FEA628">
      <w:pPr>
        <w:rPr>
          <w:rFonts w:ascii="Times New Roman" w:hAnsi="Times New Roman" w:eastAsia="宋体" w:cs="Times New Roman"/>
        </w:rPr>
      </w:pPr>
      <w:r>
        <w:fldChar w:fldCharType="begin"/>
      </w:r>
      <w:r>
        <w:instrText xml:space="preserve"> HYPERLINK "https://news.qq.com/rain/a/20250829A06C9W00" </w:instrText>
      </w:r>
      <w:r>
        <w:fldChar w:fldCharType="separate"/>
      </w:r>
      <w:r>
        <w:rPr>
          <w:rStyle w:val="15"/>
          <w:rFonts w:ascii="Times New Roman" w:hAnsi="Times New Roman" w:eastAsia="宋体" w:cs="Times New Roman"/>
        </w:rPr>
        <w:t>https://news.qq.com/rain/a/20250829A06C9W00</w:t>
      </w:r>
      <w:r>
        <w:rPr>
          <w:rStyle w:val="15"/>
          <w:rFonts w:ascii="Times New Roman" w:hAnsi="Times New Roman" w:eastAsia="宋体" w:cs="Times New Roman"/>
        </w:rPr>
        <w:fldChar w:fldCharType="end"/>
      </w:r>
    </w:p>
    <w:p w14:paraId="32391EF4">
      <w:pPr>
        <w:rPr>
          <w:rFonts w:ascii="Times New Roman" w:hAnsi="Times New Roman" w:eastAsia="宋体" w:cs="Times New Roman"/>
        </w:rPr>
      </w:pPr>
    </w:p>
    <w:p w14:paraId="54655473">
      <w:pPr>
        <w:rPr>
          <w:rFonts w:ascii="Times New Roman" w:hAnsi="Times New Roman" w:eastAsia="宋体" w:cs="Times New Roman"/>
        </w:rPr>
      </w:pPr>
      <w:r>
        <w:rPr>
          <w:rFonts w:hint="eastAsia" w:ascii="Times New Roman" w:hAnsi="Times New Roman" w:eastAsia="宋体" w:cs="Times New Roman"/>
        </w:rPr>
        <w:t>新浪新闻</w:t>
      </w:r>
    </w:p>
    <w:p w14:paraId="4E65A980">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中拉青年应对全球挑战——2025减贫营｜智利决赛减贫研讨会顺利举行</w:t>
      </w:r>
    </w:p>
    <w:p w14:paraId="2D2478A8">
      <w:pPr>
        <w:rPr>
          <w:rFonts w:ascii="Times New Roman" w:hAnsi="Times New Roman" w:eastAsia="宋体" w:cs="Times New Roman"/>
        </w:rPr>
      </w:pPr>
      <w:r>
        <w:fldChar w:fldCharType="begin"/>
      </w:r>
      <w:r>
        <w:instrText xml:space="preserve"> HYPERLINK "https://news.sina.com.cn/sx/2025-08-29/detail-infnrsth5942488.shtml" </w:instrText>
      </w:r>
      <w:r>
        <w:fldChar w:fldCharType="separate"/>
      </w:r>
      <w:r>
        <w:rPr>
          <w:rStyle w:val="15"/>
          <w:rFonts w:ascii="Times New Roman" w:hAnsi="Times New Roman" w:eastAsia="宋体" w:cs="Times New Roman"/>
        </w:rPr>
        <w:t>https://news.sina.com.cn/sx/2025-08-29/detail-infnrsth5942488.shtml</w:t>
      </w:r>
      <w:r>
        <w:rPr>
          <w:rStyle w:val="15"/>
          <w:rFonts w:ascii="Times New Roman" w:hAnsi="Times New Roman" w:eastAsia="宋体" w:cs="Times New Roman"/>
        </w:rPr>
        <w:fldChar w:fldCharType="end"/>
      </w:r>
    </w:p>
    <w:p w14:paraId="6B3580BF">
      <w:pPr>
        <w:rPr>
          <w:rFonts w:ascii="Times New Roman" w:hAnsi="Times New Roman" w:eastAsia="宋体" w:cs="Times New Roman"/>
        </w:rPr>
      </w:pPr>
    </w:p>
    <w:p w14:paraId="7E9916AB">
      <w:pPr>
        <w:rPr>
          <w:rFonts w:ascii="Times New Roman" w:hAnsi="Times New Roman" w:eastAsia="宋体" w:cs="Times New Roman"/>
        </w:rPr>
      </w:pPr>
      <w:r>
        <w:rPr>
          <w:rFonts w:hint="eastAsia" w:ascii="Times New Roman" w:hAnsi="Times New Roman" w:eastAsia="宋体" w:cs="Times New Roman"/>
        </w:rPr>
        <w:t>搜狐网</w:t>
      </w:r>
    </w:p>
    <w:p w14:paraId="5207A4EB">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中拉青年应对全球挑战——2025减贫营智利决赛圆满举行</w:t>
      </w:r>
    </w:p>
    <w:p w14:paraId="0A4E9C86">
      <w:pPr>
        <w:rPr>
          <w:rFonts w:ascii="Times New Roman" w:hAnsi="Times New Roman" w:eastAsia="宋体" w:cs="Times New Roman"/>
        </w:rPr>
      </w:pPr>
      <w:r>
        <w:fldChar w:fldCharType="begin"/>
      </w:r>
      <w:r>
        <w:instrText xml:space="preserve"> HYPERLINK "https://m.sohu.com/a/929879747_120401473?_trans_=060005_wzhbewmdl" </w:instrText>
      </w:r>
      <w:r>
        <w:fldChar w:fldCharType="separate"/>
      </w:r>
      <w:r>
        <w:rPr>
          <w:rStyle w:val="15"/>
          <w:rFonts w:ascii="Times New Roman" w:hAnsi="Times New Roman" w:eastAsia="宋体" w:cs="Times New Roman"/>
        </w:rPr>
        <w:t>https://m.sohu.com/a/929879747_120401473?_trans_=060005_wzhbewmdl</w:t>
      </w:r>
      <w:r>
        <w:rPr>
          <w:rStyle w:val="15"/>
          <w:rFonts w:ascii="Times New Roman" w:hAnsi="Times New Roman" w:eastAsia="宋体" w:cs="Times New Roman"/>
        </w:rPr>
        <w:fldChar w:fldCharType="end"/>
      </w:r>
    </w:p>
    <w:p w14:paraId="04D7694B">
      <w:pPr>
        <w:rPr>
          <w:rFonts w:ascii="Times New Roman" w:hAnsi="Times New Roman" w:eastAsia="宋体" w:cs="Times New Roman"/>
        </w:rPr>
      </w:pPr>
    </w:p>
    <w:p w14:paraId="56EF26F4">
      <w:pPr>
        <w:rPr>
          <w:rFonts w:ascii="Times New Roman" w:hAnsi="Times New Roman" w:eastAsia="宋体" w:cs="Times New Roman"/>
        </w:rPr>
      </w:pPr>
      <w:r>
        <w:rPr>
          <w:rFonts w:hint="eastAsia" w:ascii="Times New Roman" w:hAnsi="Times New Roman" w:eastAsia="宋体" w:cs="Times New Roman"/>
        </w:rPr>
        <w:t>网易</w:t>
      </w:r>
    </w:p>
    <w:p w14:paraId="2FB64E23">
      <w:pPr>
        <w:rPr>
          <w:rFonts w:ascii="Times New Roman" w:hAnsi="Times New Roman" w:eastAsia="宋体" w:cs="Times New Roman"/>
        </w:rPr>
      </w:pPr>
      <w:r>
        <w:rPr>
          <w:rFonts w:ascii="Times New Roman" w:hAnsi="Times New Roman" w:eastAsia="宋体" w:cs="Times New Roman"/>
        </w:rPr>
        <w:t>中拉青年应对全球挑战—2025减贫营｜智利决赛减贫研讨会顺利举行</w:t>
      </w:r>
    </w:p>
    <w:p w14:paraId="7FE052FA">
      <w:pPr>
        <w:rPr>
          <w:rFonts w:ascii="Times New Roman" w:hAnsi="Times New Roman" w:eastAsia="宋体" w:cs="Times New Roman"/>
        </w:rPr>
      </w:pPr>
      <w:r>
        <w:fldChar w:fldCharType="begin"/>
      </w:r>
      <w:r>
        <w:instrText xml:space="preserve"> HYPERLINK "https://www.163.com/dy/article/K8545GIA055691H4.html?referFrom=" </w:instrText>
      </w:r>
      <w:r>
        <w:fldChar w:fldCharType="separate"/>
      </w:r>
      <w:r>
        <w:rPr>
          <w:rStyle w:val="15"/>
          <w:rFonts w:ascii="Times New Roman" w:hAnsi="Times New Roman" w:eastAsia="宋体" w:cs="Times New Roman"/>
        </w:rPr>
        <w:t>https://www.163.com/dy/article/K8545GIA055691H4.html?referFrom=</w:t>
      </w:r>
      <w:r>
        <w:rPr>
          <w:rStyle w:val="15"/>
          <w:rFonts w:ascii="Times New Roman" w:hAnsi="Times New Roman" w:eastAsia="宋体" w:cs="Times New Roman"/>
        </w:rPr>
        <w:fldChar w:fldCharType="end"/>
      </w:r>
    </w:p>
    <w:p w14:paraId="5BDC3ED9">
      <w:pPr>
        <w:rPr>
          <w:rFonts w:ascii="Times New Roman" w:hAnsi="Times New Roman" w:eastAsia="宋体" w:cs="Times New Roman"/>
        </w:rPr>
      </w:pPr>
    </w:p>
    <w:p w14:paraId="2B63F8C1">
      <w:pPr>
        <w:rPr>
          <w:rFonts w:ascii="Times New Roman" w:hAnsi="Times New Roman" w:eastAsia="宋体" w:cs="Times New Roman"/>
        </w:rPr>
      </w:pPr>
      <w:r>
        <w:rPr>
          <w:rFonts w:hint="eastAsia" w:ascii="Times New Roman" w:hAnsi="Times New Roman" w:eastAsia="宋体" w:cs="Times New Roman"/>
        </w:rPr>
        <w:t>今日头条</w:t>
      </w:r>
    </w:p>
    <w:p w14:paraId="354AC97F">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中拉青年应对全球挑战——2025减贫营智利决赛圆满举行</w:t>
      </w:r>
    </w:p>
    <w:p w14:paraId="1120EE9F">
      <w:pPr>
        <w:rPr>
          <w:rFonts w:ascii="Times New Roman" w:hAnsi="Times New Roman" w:eastAsia="宋体" w:cs="Times New Roman"/>
        </w:rPr>
      </w:pPr>
      <w:r>
        <w:fldChar w:fldCharType="begin"/>
      </w:r>
      <w:r>
        <w:instrText xml:space="preserve"> HYPERLINK "https://www.toutiao.com/article/7544217702651494922/?log_from=8ea6ba19a0378_1756525507411" </w:instrText>
      </w:r>
      <w:r>
        <w:fldChar w:fldCharType="separate"/>
      </w:r>
      <w:r>
        <w:rPr>
          <w:rStyle w:val="15"/>
          <w:rFonts w:ascii="Times New Roman" w:hAnsi="Times New Roman" w:eastAsia="宋体" w:cs="Times New Roman"/>
        </w:rPr>
        <w:t>https://www.toutiao.com/article/7544217702651494922/?log_from=8ea6ba19a0378_1756525507411</w:t>
      </w:r>
      <w:r>
        <w:rPr>
          <w:rStyle w:val="15"/>
          <w:rFonts w:ascii="Times New Roman" w:hAnsi="Times New Roman" w:eastAsia="宋体" w:cs="Times New Roman"/>
        </w:rPr>
        <w:fldChar w:fldCharType="end"/>
      </w:r>
    </w:p>
    <w:p w14:paraId="376F094D">
      <w:pPr>
        <w:rPr>
          <w:rFonts w:ascii="Times New Roman" w:hAnsi="Times New Roman" w:eastAsia="宋体" w:cs="Times New Roman"/>
        </w:rPr>
      </w:pPr>
    </w:p>
    <w:p w14:paraId="39C4AA03">
      <w:pPr>
        <w:rPr>
          <w:rFonts w:ascii="Times New Roman" w:hAnsi="Times New Roman" w:eastAsia="宋体" w:cs="Times New Roman"/>
        </w:rPr>
      </w:pPr>
      <w:r>
        <w:rPr>
          <w:rFonts w:hint="eastAsia" w:ascii="Times New Roman" w:hAnsi="Times New Roman" w:eastAsia="宋体" w:cs="Times New Roman"/>
        </w:rPr>
        <w:t>全球教育网</w:t>
      </w:r>
    </w:p>
    <w:p w14:paraId="48BB032A">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中拉青年应对全球挑战——2025减贫营智利决赛圆满举行</w:t>
      </w:r>
    </w:p>
    <w:p w14:paraId="49754670">
      <w:pPr>
        <w:rPr>
          <w:rFonts w:ascii="Times New Roman" w:hAnsi="Times New Roman" w:eastAsia="宋体" w:cs="Times New Roman"/>
        </w:rPr>
      </w:pPr>
      <w:r>
        <w:fldChar w:fldCharType="begin"/>
      </w:r>
      <w:r>
        <w:instrText xml:space="preserve"> HYPERLINK "http://zhgzxedu.com/xinwen/13723.html" </w:instrText>
      </w:r>
      <w:r>
        <w:fldChar w:fldCharType="separate"/>
      </w:r>
      <w:r>
        <w:rPr>
          <w:rStyle w:val="15"/>
          <w:rFonts w:ascii="Times New Roman" w:hAnsi="Times New Roman" w:eastAsia="宋体" w:cs="Times New Roman"/>
        </w:rPr>
        <w:t>http://zhgzxedu.com/xinwen/13723.html</w:t>
      </w:r>
      <w:r>
        <w:rPr>
          <w:rStyle w:val="15"/>
          <w:rFonts w:ascii="Times New Roman" w:hAnsi="Times New Roman" w:eastAsia="宋体" w:cs="Times New Roman"/>
        </w:rPr>
        <w:fldChar w:fldCharType="end"/>
      </w:r>
    </w:p>
    <w:p w14:paraId="331C0AE8">
      <w:pPr>
        <w:rPr>
          <w:rFonts w:ascii="Times New Roman" w:hAnsi="Times New Roman" w:eastAsia="宋体" w:cs="Times New Roman"/>
        </w:rPr>
      </w:pPr>
    </w:p>
    <w:p w14:paraId="55DB466A">
      <w:pPr>
        <w:rPr>
          <w:rFonts w:ascii="Times New Roman" w:hAnsi="Times New Roman" w:eastAsia="宋体" w:cs="Times New Roman"/>
        </w:rPr>
      </w:pPr>
      <w:r>
        <w:rPr>
          <w:rFonts w:hint="eastAsia" w:ascii="Times New Roman" w:hAnsi="Times New Roman" w:eastAsia="宋体" w:cs="Times New Roman"/>
        </w:rPr>
        <w:t>环球新闻广播</w:t>
      </w:r>
    </w:p>
    <w:p w14:paraId="58292C12">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中拉青年应对全球挑战——2025减贫营｜智利决赛减贫研讨会顺利举行</w:t>
      </w:r>
    </w:p>
    <w:p w14:paraId="3E8C8708">
      <w:pPr>
        <w:rPr>
          <w:rFonts w:ascii="Times New Roman" w:hAnsi="Times New Roman" w:eastAsia="宋体" w:cs="Times New Roman"/>
        </w:rPr>
      </w:pPr>
      <w:r>
        <w:fldChar w:fldCharType="begin"/>
      </w:r>
      <w:r>
        <w:instrText xml:space="preserve"> HYPERLINK "http://www.hqblfp.cn/news/guoneiwai/480.html" </w:instrText>
      </w:r>
      <w:r>
        <w:fldChar w:fldCharType="separate"/>
      </w:r>
      <w:r>
        <w:rPr>
          <w:rStyle w:val="15"/>
          <w:rFonts w:ascii="Times New Roman" w:hAnsi="Times New Roman" w:eastAsia="宋体" w:cs="Times New Roman"/>
        </w:rPr>
        <w:t>http://www.hqblfp.cn/news/guoneiwai/480.html</w:t>
      </w:r>
      <w:r>
        <w:rPr>
          <w:rStyle w:val="15"/>
          <w:rFonts w:ascii="Times New Roman" w:hAnsi="Times New Roman" w:eastAsia="宋体" w:cs="Times New Roman"/>
        </w:rPr>
        <w:fldChar w:fldCharType="end"/>
      </w:r>
    </w:p>
    <w:p w14:paraId="3025053D">
      <w:pPr>
        <w:rPr>
          <w:rFonts w:ascii="Times New Roman" w:hAnsi="Times New Roman" w:eastAsia="宋体" w:cs="Times New Roman"/>
        </w:rPr>
      </w:pPr>
    </w:p>
    <w:p w14:paraId="1746CC01">
      <w:pPr>
        <w:rPr>
          <w:rFonts w:ascii="Times New Roman" w:hAnsi="Times New Roman" w:eastAsia="宋体" w:cs="Times New Roman"/>
        </w:rPr>
      </w:pPr>
      <w:r>
        <w:rPr>
          <w:rFonts w:hint="eastAsia" w:ascii="Times New Roman" w:hAnsi="Times New Roman" w:eastAsia="宋体" w:cs="Times New Roman"/>
        </w:rPr>
        <w:t>环球教育在线</w:t>
      </w:r>
    </w:p>
    <w:p w14:paraId="120D09D9">
      <w:pPr>
        <w:rPr>
          <w:rFonts w:ascii="Times New Roman" w:hAnsi="Times New Roman" w:eastAsia="宋体" w:cs="Times New Roman"/>
        </w:rPr>
      </w:pPr>
      <w:r>
        <w:rPr>
          <w:rFonts w:hint="eastAsia" w:ascii="Times New Roman" w:hAnsi="Times New Roman" w:eastAsia="宋体" w:cs="Times New Roman"/>
        </w:rPr>
        <w:t>中拉青年应对全球挑战——2025减贫营｜智利决赛减贫研讨会顺利举行</w:t>
      </w:r>
    </w:p>
    <w:p w14:paraId="193F8840">
      <w:pPr>
        <w:rPr>
          <w:rFonts w:ascii="Times New Roman" w:hAnsi="Times New Roman" w:eastAsia="宋体" w:cs="Times New Roman"/>
        </w:rPr>
      </w:pPr>
      <w:r>
        <w:fldChar w:fldCharType="begin"/>
      </w:r>
      <w:r>
        <w:instrText xml:space="preserve"> HYPERLINK "http://www.lrkygt.cn/edu/20250829237.html" </w:instrText>
      </w:r>
      <w:r>
        <w:fldChar w:fldCharType="separate"/>
      </w:r>
      <w:r>
        <w:rPr>
          <w:rStyle w:val="15"/>
          <w:rFonts w:ascii="Times New Roman" w:hAnsi="Times New Roman" w:eastAsia="宋体" w:cs="Times New Roman"/>
        </w:rPr>
        <w:t>http://www.lrkygt.cn/edu/20250829237.html</w:t>
      </w:r>
      <w:r>
        <w:rPr>
          <w:rStyle w:val="15"/>
          <w:rFonts w:ascii="Times New Roman" w:hAnsi="Times New Roman" w:eastAsia="宋体" w:cs="Times New Roman"/>
        </w:rPr>
        <w:fldChar w:fldCharType="end"/>
      </w:r>
    </w:p>
    <w:p w14:paraId="355ABE7E">
      <w:pPr>
        <w:rPr>
          <w:rFonts w:ascii="Times New Roman" w:hAnsi="Times New Roman" w:eastAsia="宋体" w:cs="Times New Roman"/>
        </w:rPr>
      </w:pPr>
    </w:p>
    <w:p w14:paraId="754AA6EF">
      <w:pPr>
        <w:rPr>
          <w:rFonts w:ascii="Times New Roman" w:hAnsi="Times New Roman" w:eastAsia="宋体" w:cs="Times New Roman"/>
        </w:rPr>
      </w:pPr>
      <w:r>
        <w:rPr>
          <w:rFonts w:hint="eastAsia" w:ascii="Times New Roman" w:hAnsi="Times New Roman" w:eastAsia="宋体" w:cs="Times New Roman"/>
        </w:rPr>
        <w:t>“清华大学拉美中心”公众号：</w:t>
      </w:r>
    </w:p>
    <w:p w14:paraId="4BF323BF">
      <w:pPr>
        <w:rPr>
          <w:rFonts w:ascii="Times New Roman" w:hAnsi="Times New Roman" w:eastAsia="宋体" w:cs="Times New Roman"/>
        </w:rPr>
      </w:pPr>
      <w:r>
        <w:rPr>
          <w:rFonts w:hint="eastAsia" w:ascii="Times New Roman" w:hAnsi="Times New Roman" w:eastAsia="宋体" w:cs="Times New Roman"/>
        </w:rPr>
        <w:t>“中拉青年应对全球挑战——</w:t>
      </w:r>
      <w:r>
        <w:rPr>
          <w:rFonts w:ascii="Times New Roman" w:hAnsi="Times New Roman" w:eastAsia="宋体" w:cs="Times New Roman"/>
        </w:rPr>
        <w:t>2025减贫营”智利决赛开幕式和破冰环节</w:t>
      </w:r>
    </w:p>
    <w:p w14:paraId="49AF3938">
      <w:pPr>
        <w:rPr>
          <w:rFonts w:ascii="Times New Roman" w:hAnsi="Times New Roman" w:eastAsia="宋体" w:cs="Times New Roman"/>
        </w:rPr>
      </w:pPr>
      <w:r>
        <w:fldChar w:fldCharType="begin"/>
      </w:r>
      <w:r>
        <w:instrText xml:space="preserve"> HYPERLINK "https://mp.weixin.qq.com/s/kuf33H_MxT1gDrpsLqveYQ" </w:instrText>
      </w:r>
      <w:r>
        <w:fldChar w:fldCharType="separate"/>
      </w:r>
      <w:r>
        <w:rPr>
          <w:rStyle w:val="15"/>
          <w:rFonts w:ascii="Times New Roman" w:hAnsi="Times New Roman" w:eastAsia="宋体" w:cs="Times New Roman"/>
        </w:rPr>
        <w:t>https://mp.weixin.qq.com/s/kuf33H_MxT1gDrpsLqveYQ</w:t>
      </w:r>
      <w:r>
        <w:rPr>
          <w:rStyle w:val="15"/>
          <w:rFonts w:ascii="Times New Roman" w:hAnsi="Times New Roman" w:eastAsia="宋体" w:cs="Times New Roman"/>
        </w:rPr>
        <w:fldChar w:fldCharType="end"/>
      </w:r>
    </w:p>
    <w:p w14:paraId="6232E339"/>
    <w:p w14:paraId="5543DF4B">
      <w:pPr>
        <w:rPr>
          <w:rFonts w:ascii="Times New Roman" w:hAnsi="Times New Roman" w:eastAsia="宋体" w:cs="Times New Roman"/>
        </w:rPr>
      </w:pPr>
      <w:r>
        <w:rPr>
          <w:rFonts w:hint="eastAsia" w:ascii="Times New Roman" w:hAnsi="Times New Roman" w:eastAsia="宋体" w:cs="Times New Roman"/>
        </w:rPr>
        <w:t>“清华大学拉美中心”公众号：</w:t>
      </w:r>
    </w:p>
    <w:p w14:paraId="27DA1511">
      <w:pPr>
        <w:rPr>
          <w:rFonts w:ascii="Times New Roman" w:hAnsi="Times New Roman" w:eastAsia="宋体" w:cs="Times New Roman"/>
        </w:rPr>
      </w:pPr>
      <w:r>
        <w:rPr>
          <w:rFonts w:hint="eastAsia" w:ascii="Times New Roman" w:hAnsi="Times New Roman" w:eastAsia="宋体" w:cs="Times New Roman"/>
        </w:rPr>
        <w:t>2025减贫营智利决赛｜参访洛埃斯佩霍市政府</w:t>
      </w:r>
    </w:p>
    <w:p w14:paraId="7466F853">
      <w:r>
        <w:fldChar w:fldCharType="begin"/>
      </w:r>
      <w:r>
        <w:instrText xml:space="preserve"> HYPERLINK "https://mp.weixin.qq.com/s/Fat9a6mk4qQpTcIERLZbXA" </w:instrText>
      </w:r>
      <w:r>
        <w:fldChar w:fldCharType="separate"/>
      </w:r>
      <w:r>
        <w:rPr>
          <w:rStyle w:val="15"/>
          <w:rFonts w:ascii="Times New Roman" w:hAnsi="Times New Roman" w:eastAsia="宋体" w:cs="Times New Roman"/>
        </w:rPr>
        <w:t>https://mp.weixin.qq.com/s/Fat9a6mk4qQpTcIERLZbXA</w:t>
      </w:r>
      <w:r>
        <w:rPr>
          <w:rStyle w:val="15"/>
          <w:rFonts w:ascii="Times New Roman" w:hAnsi="Times New Roman" w:eastAsia="宋体" w:cs="Times New Roman"/>
        </w:rPr>
        <w:fldChar w:fldCharType="end"/>
      </w:r>
    </w:p>
    <w:p w14:paraId="2D518F79"/>
    <w:p w14:paraId="2CF9F099">
      <w:pPr>
        <w:rPr>
          <w:rFonts w:ascii="Times New Roman" w:hAnsi="Times New Roman" w:eastAsia="宋体" w:cs="Times New Roman"/>
        </w:rPr>
      </w:pPr>
      <w:r>
        <w:rPr>
          <w:rFonts w:hint="eastAsia" w:ascii="Times New Roman" w:hAnsi="Times New Roman" w:eastAsia="宋体" w:cs="Times New Roman"/>
        </w:rPr>
        <w:t>“清华大学拉美中心”公众号：</w:t>
      </w:r>
    </w:p>
    <w:p w14:paraId="0B8FD6AE">
      <w:pPr>
        <w:rPr>
          <w:rFonts w:ascii="Times New Roman" w:hAnsi="Times New Roman" w:eastAsia="宋体" w:cs="Times New Roman"/>
        </w:rPr>
      </w:pPr>
      <w:r>
        <w:rPr>
          <w:rFonts w:hint="eastAsia" w:ascii="Times New Roman" w:hAnsi="Times New Roman" w:eastAsia="宋体" w:cs="Times New Roman"/>
        </w:rPr>
        <w:t>2025减贫营丨智利决赛减贫研讨会顺利举行</w:t>
      </w:r>
    </w:p>
    <w:p w14:paraId="282B946C">
      <w:pPr>
        <w:rPr>
          <w:rFonts w:ascii="Times New Roman" w:hAnsi="Times New Roman" w:eastAsia="宋体" w:cs="Times New Roman"/>
        </w:rPr>
      </w:pPr>
      <w:r>
        <w:fldChar w:fldCharType="begin"/>
      </w:r>
      <w:r>
        <w:instrText xml:space="preserve"> HYPERLINK "https://mp.weixin.qq.com/s/JRg7TPrJxfjenoBS23w2mg" </w:instrText>
      </w:r>
      <w:r>
        <w:fldChar w:fldCharType="separate"/>
      </w:r>
      <w:r>
        <w:rPr>
          <w:rStyle w:val="15"/>
          <w:rFonts w:ascii="Times New Roman" w:hAnsi="Times New Roman" w:eastAsia="宋体" w:cs="Times New Roman"/>
        </w:rPr>
        <w:t>https://mp.weixin.qq.com/s/JRg7TPrJxfjenoBS23w2mg</w:t>
      </w:r>
      <w:r>
        <w:rPr>
          <w:rStyle w:val="15"/>
          <w:rFonts w:ascii="Times New Roman" w:hAnsi="Times New Roman" w:eastAsia="宋体" w:cs="Times New Roman"/>
        </w:rPr>
        <w:fldChar w:fldCharType="end"/>
      </w:r>
    </w:p>
    <w:p w14:paraId="2AE9CA74">
      <w:pPr>
        <w:rPr>
          <w:rFonts w:ascii="Times New Roman" w:hAnsi="Times New Roman" w:eastAsia="宋体" w:cs="Times New Roman"/>
        </w:rPr>
      </w:pPr>
    </w:p>
    <w:p w14:paraId="66088819">
      <w:pPr>
        <w:rPr>
          <w:rFonts w:ascii="Times New Roman" w:hAnsi="Times New Roman" w:eastAsia="宋体" w:cs="Times New Roman"/>
        </w:rPr>
      </w:pPr>
      <w:r>
        <w:rPr>
          <w:rFonts w:hint="eastAsia" w:ascii="Times New Roman" w:hAnsi="Times New Roman" w:eastAsia="宋体" w:cs="Times New Roman"/>
        </w:rPr>
        <w:t>“清华大学拉美中心”公众号：</w:t>
      </w:r>
    </w:p>
    <w:p w14:paraId="705A1D9E">
      <w:pPr>
        <w:rPr>
          <w:rFonts w:ascii="Times New Roman" w:hAnsi="Times New Roman" w:eastAsia="宋体" w:cs="Times New Roman"/>
        </w:rPr>
      </w:pPr>
      <w:r>
        <w:rPr>
          <w:rFonts w:hint="eastAsia" w:ascii="Times New Roman" w:hAnsi="Times New Roman" w:eastAsia="宋体" w:cs="Times New Roman"/>
        </w:rPr>
        <w:t>2025减贫营｜智利决赛辅导环节顺利举行</w:t>
      </w:r>
    </w:p>
    <w:p w14:paraId="4C2F1DE0">
      <w:pPr>
        <w:rPr>
          <w:rFonts w:ascii="Times New Roman" w:hAnsi="Times New Roman" w:eastAsia="宋体" w:cs="Times New Roman"/>
        </w:rPr>
      </w:pPr>
      <w:r>
        <w:fldChar w:fldCharType="begin"/>
      </w:r>
      <w:r>
        <w:instrText xml:space="preserve"> HYPERLINK "https://mp.weixin.qq.com/s/yvN_wIBjTDuAv-Hp3tvOPQ" </w:instrText>
      </w:r>
      <w:r>
        <w:fldChar w:fldCharType="separate"/>
      </w:r>
      <w:r>
        <w:rPr>
          <w:rStyle w:val="15"/>
          <w:rFonts w:ascii="Times New Roman" w:hAnsi="Times New Roman" w:eastAsia="宋体" w:cs="Times New Roman"/>
        </w:rPr>
        <w:t>https://mp.weixin.qq.com/s/yvN_wIBjTDuAv-Hp3tvOPQ</w:t>
      </w:r>
      <w:r>
        <w:rPr>
          <w:rStyle w:val="15"/>
          <w:rFonts w:ascii="Times New Roman" w:hAnsi="Times New Roman" w:eastAsia="宋体" w:cs="Times New Roman"/>
        </w:rPr>
        <w:fldChar w:fldCharType="end"/>
      </w:r>
    </w:p>
    <w:p w14:paraId="4699EE5F">
      <w:pPr>
        <w:rPr>
          <w:rFonts w:ascii="Times New Roman" w:hAnsi="Times New Roman" w:eastAsia="宋体" w:cs="Times New Roman"/>
        </w:rPr>
      </w:pPr>
    </w:p>
    <w:p w14:paraId="1A5A7DBE">
      <w:pPr>
        <w:rPr>
          <w:rFonts w:ascii="Times New Roman" w:hAnsi="Times New Roman" w:eastAsia="宋体" w:cs="Times New Roman"/>
        </w:rPr>
      </w:pPr>
      <w:r>
        <w:rPr>
          <w:rFonts w:hint="eastAsia" w:ascii="Times New Roman" w:hAnsi="Times New Roman" w:eastAsia="宋体" w:cs="Times New Roman"/>
        </w:rPr>
        <w:t>“清华大学拉美中心”公众号：</w:t>
      </w:r>
    </w:p>
    <w:p w14:paraId="1C96A397">
      <w:pPr>
        <w:rPr>
          <w:rFonts w:ascii="Times New Roman" w:hAnsi="Times New Roman" w:eastAsia="宋体" w:cs="Times New Roman"/>
        </w:rPr>
      </w:pPr>
      <w:r>
        <w:rPr>
          <w:rFonts w:hint="eastAsia" w:ascii="Times New Roman" w:hAnsi="Times New Roman" w:eastAsia="宋体" w:cs="Times New Roman"/>
        </w:rPr>
        <w:t>2025减贫营丨智利决赛圆满举行</w:t>
      </w:r>
    </w:p>
    <w:p w14:paraId="5A0E88DB">
      <w:pPr>
        <w:rPr>
          <w:rFonts w:ascii="Times New Roman" w:hAnsi="Times New Roman" w:eastAsia="宋体" w:cs="Times New Roman"/>
        </w:rPr>
      </w:pPr>
      <w:r>
        <w:fldChar w:fldCharType="begin"/>
      </w:r>
      <w:r>
        <w:instrText xml:space="preserve"> HYPERLINK "https://mp.weixin.qq.com/s/vXcJqtLNG7OvVSW4Jw9qCw" </w:instrText>
      </w:r>
      <w:r>
        <w:fldChar w:fldCharType="separate"/>
      </w:r>
      <w:r>
        <w:rPr>
          <w:rStyle w:val="15"/>
          <w:rFonts w:ascii="Times New Roman" w:hAnsi="Times New Roman" w:eastAsia="宋体" w:cs="Times New Roman"/>
        </w:rPr>
        <w:t>https://mp.weixin.qq.com/s/vXcJqtLNG7OvVSW4Jw9qCw</w:t>
      </w:r>
      <w:r>
        <w:rPr>
          <w:rStyle w:val="15"/>
          <w:rFonts w:ascii="Times New Roman" w:hAnsi="Times New Roman" w:eastAsia="宋体" w:cs="Times New Roman"/>
        </w:rPr>
        <w:fldChar w:fldCharType="end"/>
      </w:r>
    </w:p>
    <w:sectPr>
      <w:headerReference r:id="rId7" w:type="default"/>
      <w:footerReference r:id="rId8" w:type="default"/>
      <w:footerReference r:id="rId9" w:type="even"/>
      <w:pgSz w:w="11900" w:h="16840"/>
      <w:pgMar w:top="1985" w:right="1797" w:bottom="1985" w:left="1797" w:header="851" w:footer="1021"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62ED6">
    <w:pPr>
      <w:pStyle w:val="6"/>
      <w:framePr w:wrap="auto" w:vAnchor="text" w:hAnchor="margin" w:xAlign="center" w:y="1"/>
      <w:rPr>
        <w:rStyle w:val="13"/>
      </w:rPr>
    </w:pPr>
  </w:p>
  <w:p w14:paraId="693FA28E">
    <w:pPr>
      <w:rPr>
        <w:rFonts w:hint="eastAsia" w:ascii="微软雅黑" w:hAnsi="微软雅黑" w:eastAsia="微软雅黑"/>
        <w:color w:val="808080" w:themeColor="background1" w:themeShade="80"/>
        <w:sz w:val="13"/>
        <w:szCs w:val="13"/>
      </w:rPr>
    </w:pPr>
    <w:r>
      <mc:AlternateContent>
        <mc:Choice Requires="wps">
          <w:drawing>
            <wp:anchor distT="0" distB="0" distL="114300" distR="114300" simplePos="0" relativeHeight="251659264" behindDoc="0" locked="0" layoutInCell="1" allowOverlap="1">
              <wp:simplePos x="0" y="0"/>
              <wp:positionH relativeFrom="column">
                <wp:posOffset>-55245</wp:posOffset>
              </wp:positionH>
              <wp:positionV relativeFrom="paragraph">
                <wp:posOffset>-917575</wp:posOffset>
              </wp:positionV>
              <wp:extent cx="3204845" cy="6540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204845" cy="654050"/>
                      </a:xfrm>
                      <a:prstGeom prst="rect">
                        <a:avLst/>
                      </a:prstGeom>
                      <a:noFill/>
                      <a:ln w="6350">
                        <a:noFill/>
                      </a:ln>
                    </wps:spPr>
                    <wps:txbx>
                      <w:txbxContent>
                        <w:p w14:paraId="37F93C36">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北京办公室 Beijing Office</w:t>
                          </w:r>
                        </w:p>
                        <w:p w14:paraId="6F87B536">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 xml:space="preserve">中国 </w:t>
                          </w:r>
                          <w:r>
                            <w:rPr>
                              <w:rFonts w:ascii="微软雅黑" w:hAnsi="微软雅黑" w:eastAsia="微软雅黑" w:cs="Courier New"/>
                              <w:color w:val="808080" w:themeColor="background1" w:themeShade="80"/>
                              <w:sz w:val="13"/>
                              <w:szCs w:val="13"/>
                            </w:rPr>
                            <w:t>•</w:t>
                          </w:r>
                          <w:r>
                            <w:rPr>
                              <w:rFonts w:hint="eastAsia" w:ascii="微软雅黑" w:hAnsi="微软雅黑" w:eastAsia="微软雅黑"/>
                              <w:color w:val="808080" w:themeColor="background1" w:themeShade="80"/>
                              <w:sz w:val="13"/>
                              <w:szCs w:val="13"/>
                            </w:rPr>
                            <w:t xml:space="preserve"> 北京 清华大学经济管理学院伟伦楼2</w:t>
                          </w:r>
                          <w:r>
                            <w:rPr>
                              <w:rFonts w:ascii="微软雅黑" w:hAnsi="微软雅黑" w:eastAsia="微软雅黑"/>
                              <w:color w:val="808080" w:themeColor="background1" w:themeShade="80"/>
                              <w:sz w:val="13"/>
                              <w:szCs w:val="13"/>
                            </w:rPr>
                            <w:t>37</w:t>
                          </w:r>
                          <w:r>
                            <w:rPr>
                              <w:rFonts w:hint="eastAsia" w:ascii="微软雅黑" w:hAnsi="微软雅黑" w:eastAsia="微软雅黑"/>
                              <w:color w:val="808080" w:themeColor="background1" w:themeShade="80"/>
                              <w:sz w:val="13"/>
                              <w:szCs w:val="13"/>
                            </w:rPr>
                            <w:t>（100084）</w:t>
                          </w:r>
                        </w:p>
                        <w:p w14:paraId="443FD167">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Weilun Building 237, Tsinghua SEM, Beijing 100084 P.R. China</w:t>
                          </w:r>
                        </w:p>
                        <w:p w14:paraId="5F512EC3">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Tel: 010-6279 5747   Email: lac@tsinghua.edu.cn</w:t>
                          </w:r>
                        </w:p>
                        <w:p w14:paraId="487BE095">
                          <w:pPr>
                            <w:rPr>
                              <w:rFonts w:hint="eastAsia" w:ascii="微软雅黑" w:hAnsi="微软雅黑" w:eastAsia="微软雅黑"/>
                              <w:color w:val="808080" w:themeColor="background1" w:themeShade="80"/>
                              <w:sz w:val="13"/>
                              <w:szCs w:val="13"/>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72.25pt;height:51.5pt;width:252.35pt;z-index:251659264;mso-width-relative:page;mso-height-relative:page;" filled="f" stroked="f" coordsize="21600,21600" o:gfxdata="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&#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O5Ig3AAAAAsBAAAPAAAAAAAAAAEAIAAAACIAAABk&#10;cnMvZG93bnJldi54bWxQSwECFAAUAAAACACHTuJAkrusozsCAABmBAAADgAAAAAAAAABACAAAAAr&#10;AQAAZHJzL2Uyb0RvYy54bWxQSwUGAAAAAAYABgBZAQAA2AUAAAAA&#10;">
              <v:fill on="f" focussize="0,0"/>
              <v:stroke on="f" weight="0.5pt"/>
              <v:imagedata o:title=""/>
              <o:lock v:ext="edit" aspectratio="f"/>
              <v:textbox>
                <w:txbxContent>
                  <w:p w14:paraId="37F93C36">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北京办公室 Beijing Office</w:t>
                    </w:r>
                  </w:p>
                  <w:p w14:paraId="6F87B536">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 xml:space="preserve">中国 </w:t>
                    </w:r>
                    <w:r>
                      <w:rPr>
                        <w:rFonts w:ascii="微软雅黑" w:hAnsi="微软雅黑" w:eastAsia="微软雅黑" w:cs="Courier New"/>
                        <w:color w:val="808080" w:themeColor="background1" w:themeShade="80"/>
                        <w:sz w:val="13"/>
                        <w:szCs w:val="13"/>
                      </w:rPr>
                      <w:t>•</w:t>
                    </w:r>
                    <w:r>
                      <w:rPr>
                        <w:rFonts w:hint="eastAsia" w:ascii="微软雅黑" w:hAnsi="微软雅黑" w:eastAsia="微软雅黑"/>
                        <w:color w:val="808080" w:themeColor="background1" w:themeShade="80"/>
                        <w:sz w:val="13"/>
                        <w:szCs w:val="13"/>
                      </w:rPr>
                      <w:t xml:space="preserve"> 北京 清华大学经济管理学院伟伦楼2</w:t>
                    </w:r>
                    <w:r>
                      <w:rPr>
                        <w:rFonts w:ascii="微软雅黑" w:hAnsi="微软雅黑" w:eastAsia="微软雅黑"/>
                        <w:color w:val="808080" w:themeColor="background1" w:themeShade="80"/>
                        <w:sz w:val="13"/>
                        <w:szCs w:val="13"/>
                      </w:rPr>
                      <w:t>37</w:t>
                    </w:r>
                    <w:r>
                      <w:rPr>
                        <w:rFonts w:hint="eastAsia" w:ascii="微软雅黑" w:hAnsi="微软雅黑" w:eastAsia="微软雅黑"/>
                        <w:color w:val="808080" w:themeColor="background1" w:themeShade="80"/>
                        <w:sz w:val="13"/>
                        <w:szCs w:val="13"/>
                      </w:rPr>
                      <w:t>（100084）</w:t>
                    </w:r>
                  </w:p>
                  <w:p w14:paraId="443FD167">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Weilun Building 237, Tsinghua SEM, Beijing 100084 P.R. China</w:t>
                    </w:r>
                  </w:p>
                  <w:p w14:paraId="5F512EC3">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Tel: 010-6279 5747   Email: lac@tsinghua.edu.cn</w:t>
                    </w:r>
                  </w:p>
                  <w:p w14:paraId="487BE095">
                    <w:pPr>
                      <w:rPr>
                        <w:rFonts w:hint="eastAsia" w:ascii="微软雅黑" w:hAnsi="微软雅黑" w:eastAsia="微软雅黑"/>
                        <w:color w:val="808080" w:themeColor="background1" w:themeShade="80"/>
                        <w:sz w:val="13"/>
                        <w:szCs w:val="13"/>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3277235</wp:posOffset>
              </wp:positionH>
              <wp:positionV relativeFrom="paragraph">
                <wp:posOffset>-915670</wp:posOffset>
              </wp:positionV>
              <wp:extent cx="3204845" cy="15684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204845" cy="1568450"/>
                      </a:xfrm>
                      <a:prstGeom prst="rect">
                        <a:avLst/>
                      </a:prstGeom>
                      <a:noFill/>
                      <a:ln w="6350">
                        <a:noFill/>
                      </a:ln>
                    </wps:spPr>
                    <wps:txbx>
                      <w:txbxContent>
                        <w:p w14:paraId="2BBD869D">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智利办公室 Chilean Office</w:t>
                          </w:r>
                        </w:p>
                        <w:p w14:paraId="20E207AF">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智利 • 圣地亚哥 罗萨里奥北区6</w:t>
                          </w:r>
                          <w:r>
                            <w:rPr>
                              <w:rFonts w:ascii="微软雅黑" w:hAnsi="微软雅黑" w:eastAsia="微软雅黑"/>
                              <w:color w:val="808080" w:themeColor="background1" w:themeShade="80"/>
                              <w:sz w:val="13"/>
                              <w:szCs w:val="13"/>
                            </w:rPr>
                            <w:t>15</w:t>
                          </w:r>
                          <w:r>
                            <w:rPr>
                              <w:rFonts w:hint="eastAsia" w:ascii="微软雅黑" w:hAnsi="微软雅黑" w:eastAsia="微软雅黑"/>
                              <w:color w:val="808080" w:themeColor="background1" w:themeShade="80"/>
                              <w:sz w:val="13"/>
                              <w:szCs w:val="13"/>
                            </w:rPr>
                            <w:t>号，1</w:t>
                          </w:r>
                          <w:r>
                            <w:rPr>
                              <w:rFonts w:ascii="微软雅黑" w:hAnsi="微软雅黑" w:eastAsia="微软雅黑"/>
                              <w:color w:val="808080" w:themeColor="background1" w:themeShade="80"/>
                              <w:sz w:val="13"/>
                              <w:szCs w:val="13"/>
                            </w:rPr>
                            <w:t>103</w:t>
                          </w:r>
                          <w:r>
                            <w:rPr>
                              <w:rFonts w:hint="eastAsia" w:ascii="微软雅黑" w:hAnsi="微软雅黑" w:eastAsia="微软雅黑"/>
                              <w:color w:val="808080" w:themeColor="background1" w:themeShade="80"/>
                              <w:sz w:val="13"/>
                              <w:szCs w:val="13"/>
                            </w:rPr>
                            <w:t>室</w:t>
                          </w:r>
                        </w:p>
                        <w:p w14:paraId="1A4D8577">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Oficina 1103, Rosario Norte 615, Santiago, Chile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05pt;margin-top:-72.1pt;height:123.5pt;width:252.35pt;z-index:251660288;mso-width-relative:page;mso-height-relative:page;" filled="f" stroked="f" coordsize="21600,21600" o:gfxdata="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&#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Cus3AAAAA0BAAAPAAAAAAAAAAEAIAAAACIAAABk&#10;cnMvZG93bnJldi54bWxQSwECFAAUAAAACACHTuJARM1p+zsCAABnBAAADgAAAAAAAAABACAAAAAr&#10;AQAAZHJzL2Uyb0RvYy54bWxQSwUGAAAAAAYABgBZAQAA2AUAAAAA&#10;">
              <v:fill on="f" focussize="0,0"/>
              <v:stroke on="f" weight="0.5pt"/>
              <v:imagedata o:title=""/>
              <o:lock v:ext="edit" aspectratio="f"/>
              <v:textbox>
                <w:txbxContent>
                  <w:p w14:paraId="2BBD869D">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智利办公室 Chilean Office</w:t>
                    </w:r>
                  </w:p>
                  <w:p w14:paraId="20E207AF">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智利 • 圣地亚哥 罗萨里奥北区6</w:t>
                    </w:r>
                    <w:r>
                      <w:rPr>
                        <w:rFonts w:ascii="微软雅黑" w:hAnsi="微软雅黑" w:eastAsia="微软雅黑"/>
                        <w:color w:val="808080" w:themeColor="background1" w:themeShade="80"/>
                        <w:sz w:val="13"/>
                        <w:szCs w:val="13"/>
                      </w:rPr>
                      <w:t>15</w:t>
                    </w:r>
                    <w:r>
                      <w:rPr>
                        <w:rFonts w:hint="eastAsia" w:ascii="微软雅黑" w:hAnsi="微软雅黑" w:eastAsia="微软雅黑"/>
                        <w:color w:val="808080" w:themeColor="background1" w:themeShade="80"/>
                        <w:sz w:val="13"/>
                        <w:szCs w:val="13"/>
                      </w:rPr>
                      <w:t>号，1</w:t>
                    </w:r>
                    <w:r>
                      <w:rPr>
                        <w:rFonts w:ascii="微软雅黑" w:hAnsi="微软雅黑" w:eastAsia="微软雅黑"/>
                        <w:color w:val="808080" w:themeColor="background1" w:themeShade="80"/>
                        <w:sz w:val="13"/>
                        <w:szCs w:val="13"/>
                      </w:rPr>
                      <w:t>103</w:t>
                    </w:r>
                    <w:r>
                      <w:rPr>
                        <w:rFonts w:hint="eastAsia" w:ascii="微软雅黑" w:hAnsi="微软雅黑" w:eastAsia="微软雅黑"/>
                        <w:color w:val="808080" w:themeColor="background1" w:themeShade="80"/>
                        <w:sz w:val="13"/>
                        <w:szCs w:val="13"/>
                      </w:rPr>
                      <w:t>室</w:t>
                    </w:r>
                  </w:p>
                  <w:p w14:paraId="1A4D8577">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Oficina 1103, Rosario Norte 615, Santiago, Chile</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-934720</wp:posOffset>
              </wp:positionV>
              <wp:extent cx="5278120" cy="0"/>
              <wp:effectExtent l="0" t="4445" r="8255" b="5080"/>
              <wp:wrapNone/>
              <wp:docPr id="5" name="直线连接符 5"/>
              <wp:cNvGraphicFramePr/>
              <a:graphic xmlns:a="http://schemas.openxmlformats.org/drawingml/2006/main">
                <a:graphicData uri="http://schemas.microsoft.com/office/word/2010/wordprocessingShape">
                  <wps:wsp>
                    <wps:cNvCnPr/>
                    <wps:spPr>
                      <a:xfrm>
                        <a:off x="0" y="0"/>
                        <a:ext cx="5278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5" o:spid="_x0000_s1026" o:spt="20" style="position:absolute;left:0pt;margin-left:0.15pt;margin-top:-73.6pt;height:0pt;width:415.6pt;z-index:251661312;mso-width-relative:page;mso-height-relative:page;" filled="f" stroked="t" coordsize="21600,21600" o:gfxdata="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DNIMTWAAAACgEAAA8AAAAAAAAAAQAgAAAAIgAAAGRycy9kb3ducmV2LnhtbFBLAQIUABQA&#10;AAAIAIdO4kCZfR1k8gEAANMDAAAOAAAAAAAAAAEAIAAAACUBAABkcnMvZTJvRG9jLnhtbFBLBQYA&#10;AAAABgAGAFkBAACJBQAAAAA=&#10;">
              <v:fill on="f" focussize="0,0"/>
              <v:stroke color="#000000 [32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3"/>
      </w:rPr>
      <w:id w:val="1032224687"/>
    </w:sdtPr>
    <w:sdtEndPr>
      <w:rPr>
        <w:rStyle w:val="13"/>
      </w:rPr>
    </w:sdtEndPr>
    <w:sdtContent>
      <w:p w14:paraId="018025F9">
        <w:pPr>
          <w:pStyle w:val="6"/>
          <w:framePr w:wrap="auto" w:vAnchor="text" w:hAnchor="margin" w:xAlign="center" w:y="1"/>
          <w:rPr>
            <w:rStyle w:val="13"/>
          </w:rPr>
        </w:pPr>
        <w:r>
          <w:rPr>
            <w:rStyle w:val="13"/>
          </w:rPr>
          <w:fldChar w:fldCharType="begin"/>
        </w:r>
        <w:r>
          <w:rPr>
            <w:rStyle w:val="13"/>
          </w:rPr>
          <w:instrText xml:space="preserve"> PAGE </w:instrText>
        </w:r>
        <w:r>
          <w:rPr>
            <w:rStyle w:val="13"/>
          </w:rPr>
          <w:fldChar w:fldCharType="end"/>
        </w:r>
      </w:p>
    </w:sdtContent>
  </w:sdt>
  <w:p w14:paraId="2C3D6CD8">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3CC72">
    <w:pPr>
      <w:pStyle w:val="6"/>
      <w:rPr>
        <w:rStyle w:val="13"/>
      </w:rPr>
    </w:pPr>
  </w:p>
  <w:p w14:paraId="6F56DE25">
    <w:pPr>
      <w:rPr>
        <w:rFonts w:hint="eastAsia" w:ascii="微软雅黑" w:hAnsi="微软雅黑" w:eastAsia="微软雅黑"/>
        <w:color w:val="808080" w:themeColor="background1" w:themeShade="80"/>
        <w:sz w:val="13"/>
        <w:szCs w:val="13"/>
      </w:rPr>
    </w:pPr>
    <w:r>
      <mc:AlternateContent>
        <mc:Choice Requires="wps">
          <w:drawing>
            <wp:anchor distT="0" distB="0" distL="114300" distR="114300" simplePos="0" relativeHeight="251662336" behindDoc="0" locked="0" layoutInCell="1" allowOverlap="1">
              <wp:simplePos x="0" y="0"/>
              <wp:positionH relativeFrom="column">
                <wp:posOffset>-55245</wp:posOffset>
              </wp:positionH>
              <wp:positionV relativeFrom="paragraph">
                <wp:posOffset>-917575</wp:posOffset>
              </wp:positionV>
              <wp:extent cx="3204845" cy="6540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3204845" cy="654050"/>
                      </a:xfrm>
                      <a:prstGeom prst="rect">
                        <a:avLst/>
                      </a:prstGeom>
                      <a:noFill/>
                      <a:ln w="6350">
                        <a:noFill/>
                      </a:ln>
                    </wps:spPr>
                    <wps:txbx>
                      <w:txbxContent>
                        <w:p w14:paraId="1C387283">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北京办公室 Beijing Office</w:t>
                          </w:r>
                        </w:p>
                        <w:p w14:paraId="3C8DD026">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 xml:space="preserve">中国 </w:t>
                          </w:r>
                          <w:r>
                            <w:rPr>
                              <w:rFonts w:ascii="微软雅黑" w:hAnsi="微软雅黑" w:eastAsia="微软雅黑" w:cs="Courier New"/>
                              <w:color w:val="808080" w:themeColor="background1" w:themeShade="80"/>
                              <w:sz w:val="13"/>
                              <w:szCs w:val="13"/>
                            </w:rPr>
                            <w:t>•</w:t>
                          </w:r>
                          <w:r>
                            <w:rPr>
                              <w:rFonts w:hint="eastAsia" w:ascii="微软雅黑" w:hAnsi="微软雅黑" w:eastAsia="微软雅黑"/>
                              <w:color w:val="808080" w:themeColor="background1" w:themeShade="80"/>
                              <w:sz w:val="13"/>
                              <w:szCs w:val="13"/>
                            </w:rPr>
                            <w:t xml:space="preserve"> 北京 清华大学经济管理学院伟伦楼2</w:t>
                          </w:r>
                          <w:r>
                            <w:rPr>
                              <w:rFonts w:ascii="微软雅黑" w:hAnsi="微软雅黑" w:eastAsia="微软雅黑"/>
                              <w:color w:val="808080" w:themeColor="background1" w:themeShade="80"/>
                              <w:sz w:val="13"/>
                              <w:szCs w:val="13"/>
                            </w:rPr>
                            <w:t>37</w:t>
                          </w:r>
                          <w:r>
                            <w:rPr>
                              <w:rFonts w:hint="eastAsia" w:ascii="微软雅黑" w:hAnsi="微软雅黑" w:eastAsia="微软雅黑"/>
                              <w:color w:val="808080" w:themeColor="background1" w:themeShade="80"/>
                              <w:sz w:val="13"/>
                              <w:szCs w:val="13"/>
                            </w:rPr>
                            <w:t>（100084）</w:t>
                          </w:r>
                        </w:p>
                        <w:p w14:paraId="2777235D">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Weilun Building 237, Tsinghua SEM, Beijing 100084 P.R. China</w:t>
                          </w:r>
                        </w:p>
                        <w:p w14:paraId="20946D4C">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Tel: 010-6279 5747   Email: lac@tsinghua.edu.cn</w:t>
                          </w:r>
                        </w:p>
                        <w:p w14:paraId="7931AD29">
                          <w:pPr>
                            <w:rPr>
                              <w:rFonts w:hint="eastAsia" w:ascii="微软雅黑" w:hAnsi="微软雅黑" w:eastAsia="微软雅黑"/>
                              <w:color w:val="808080" w:themeColor="background1" w:themeShade="80"/>
                              <w:sz w:val="13"/>
                              <w:szCs w:val="13"/>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72.25pt;height:51.5pt;width:252.35pt;z-index:251662336;mso-width-relative:page;mso-height-relative:page;" filled="f" stroked="f" coordsize="21600,21600" o:gfxdata="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&#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O5Ig3AAAAAsBAAAPAAAAAAAAAAEAIAAAACIAAABk&#10;cnMvZG93bnJldi54bWxQSwECFAAUAAAACACHTuJAh/bAnDsCAABmBAAADgAAAAAAAAABACAAAAAr&#10;AQAAZHJzL2Uyb0RvYy54bWxQSwUGAAAAAAYABgBZAQAA2AUAAAAA&#10;">
              <v:fill on="f" focussize="0,0"/>
              <v:stroke on="f" weight="0.5pt"/>
              <v:imagedata o:title=""/>
              <o:lock v:ext="edit" aspectratio="f"/>
              <v:textbox>
                <w:txbxContent>
                  <w:p w14:paraId="1C387283">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北京办公室 Beijing Office</w:t>
                    </w:r>
                  </w:p>
                  <w:p w14:paraId="3C8DD026">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 xml:space="preserve">中国 </w:t>
                    </w:r>
                    <w:r>
                      <w:rPr>
                        <w:rFonts w:ascii="微软雅黑" w:hAnsi="微软雅黑" w:eastAsia="微软雅黑" w:cs="Courier New"/>
                        <w:color w:val="808080" w:themeColor="background1" w:themeShade="80"/>
                        <w:sz w:val="13"/>
                        <w:szCs w:val="13"/>
                      </w:rPr>
                      <w:t>•</w:t>
                    </w:r>
                    <w:r>
                      <w:rPr>
                        <w:rFonts w:hint="eastAsia" w:ascii="微软雅黑" w:hAnsi="微软雅黑" w:eastAsia="微软雅黑"/>
                        <w:color w:val="808080" w:themeColor="background1" w:themeShade="80"/>
                        <w:sz w:val="13"/>
                        <w:szCs w:val="13"/>
                      </w:rPr>
                      <w:t xml:space="preserve"> 北京 清华大学经济管理学院伟伦楼2</w:t>
                    </w:r>
                    <w:r>
                      <w:rPr>
                        <w:rFonts w:ascii="微软雅黑" w:hAnsi="微软雅黑" w:eastAsia="微软雅黑"/>
                        <w:color w:val="808080" w:themeColor="background1" w:themeShade="80"/>
                        <w:sz w:val="13"/>
                        <w:szCs w:val="13"/>
                      </w:rPr>
                      <w:t>37</w:t>
                    </w:r>
                    <w:r>
                      <w:rPr>
                        <w:rFonts w:hint="eastAsia" w:ascii="微软雅黑" w:hAnsi="微软雅黑" w:eastAsia="微软雅黑"/>
                        <w:color w:val="808080" w:themeColor="background1" w:themeShade="80"/>
                        <w:sz w:val="13"/>
                        <w:szCs w:val="13"/>
                      </w:rPr>
                      <w:t>（100084）</w:t>
                    </w:r>
                  </w:p>
                  <w:p w14:paraId="2777235D">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Weilun Building 237, Tsinghua SEM, Beijing 100084 P.R. China</w:t>
                    </w:r>
                  </w:p>
                  <w:p w14:paraId="20946D4C">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Tel: 010-6279 5747   Email: lac@tsinghua.edu.cn</w:t>
                    </w:r>
                  </w:p>
                  <w:p w14:paraId="7931AD29">
                    <w:pPr>
                      <w:rPr>
                        <w:rFonts w:hint="eastAsia" w:ascii="微软雅黑" w:hAnsi="微软雅黑" w:eastAsia="微软雅黑"/>
                        <w:color w:val="808080" w:themeColor="background1" w:themeShade="80"/>
                        <w:sz w:val="13"/>
                        <w:szCs w:val="13"/>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3277235</wp:posOffset>
              </wp:positionH>
              <wp:positionV relativeFrom="paragraph">
                <wp:posOffset>-915670</wp:posOffset>
              </wp:positionV>
              <wp:extent cx="3204845" cy="15684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204845" cy="1568450"/>
                      </a:xfrm>
                      <a:prstGeom prst="rect">
                        <a:avLst/>
                      </a:prstGeom>
                      <a:noFill/>
                      <a:ln w="6350">
                        <a:noFill/>
                      </a:ln>
                    </wps:spPr>
                    <wps:txbx>
                      <w:txbxContent>
                        <w:p w14:paraId="2E87EA7D">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智利办公室 Chilean Office</w:t>
                          </w:r>
                        </w:p>
                        <w:p w14:paraId="2F3B83FF">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智利 • 圣地亚哥 罗萨里奥北区6</w:t>
                          </w:r>
                          <w:r>
                            <w:rPr>
                              <w:rFonts w:ascii="微软雅黑" w:hAnsi="微软雅黑" w:eastAsia="微软雅黑"/>
                              <w:color w:val="808080" w:themeColor="background1" w:themeShade="80"/>
                              <w:sz w:val="13"/>
                              <w:szCs w:val="13"/>
                            </w:rPr>
                            <w:t>15</w:t>
                          </w:r>
                          <w:r>
                            <w:rPr>
                              <w:rFonts w:hint="eastAsia" w:ascii="微软雅黑" w:hAnsi="微软雅黑" w:eastAsia="微软雅黑"/>
                              <w:color w:val="808080" w:themeColor="background1" w:themeShade="80"/>
                              <w:sz w:val="13"/>
                              <w:szCs w:val="13"/>
                            </w:rPr>
                            <w:t>号，1</w:t>
                          </w:r>
                          <w:r>
                            <w:rPr>
                              <w:rFonts w:ascii="微软雅黑" w:hAnsi="微软雅黑" w:eastAsia="微软雅黑"/>
                              <w:color w:val="808080" w:themeColor="background1" w:themeShade="80"/>
                              <w:sz w:val="13"/>
                              <w:szCs w:val="13"/>
                            </w:rPr>
                            <w:t>103</w:t>
                          </w:r>
                          <w:r>
                            <w:rPr>
                              <w:rFonts w:hint="eastAsia" w:ascii="微软雅黑" w:hAnsi="微软雅黑" w:eastAsia="微软雅黑"/>
                              <w:color w:val="808080" w:themeColor="background1" w:themeShade="80"/>
                              <w:sz w:val="13"/>
                              <w:szCs w:val="13"/>
                            </w:rPr>
                            <w:t>室</w:t>
                          </w:r>
                        </w:p>
                        <w:p w14:paraId="19439C2A">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Oficina 1103, Rosario Norte 615, Santiago, Chile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05pt;margin-top:-72.1pt;height:123.5pt;width:252.35pt;z-index:251663360;mso-width-relative:page;mso-height-relative:page;" filled="f" stroked="f" coordsize="21600,21600" o:gfxdata="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&#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Cus3AAAAA0BAAAPAAAAAAAAAAEAIAAAACIAAABk&#10;cnMvZG93bnJldi54bWxQSwECFAAUAAAACACHTuJAhUOnWDsCAABpBAAADgAAAAAAAAABACAAAAAr&#10;AQAAZHJzL2Uyb0RvYy54bWxQSwUGAAAAAAYABgBZAQAA2AUAAAAA&#10;">
              <v:fill on="f" focussize="0,0"/>
              <v:stroke on="f" weight="0.5pt"/>
              <v:imagedata o:title=""/>
              <o:lock v:ext="edit" aspectratio="f"/>
              <v:textbox>
                <w:txbxContent>
                  <w:p w14:paraId="2E87EA7D">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智利办公室 Chilean Office</w:t>
                    </w:r>
                  </w:p>
                  <w:p w14:paraId="2F3B83FF">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智利 • 圣地亚哥 罗萨里奥北区6</w:t>
                    </w:r>
                    <w:r>
                      <w:rPr>
                        <w:rFonts w:ascii="微软雅黑" w:hAnsi="微软雅黑" w:eastAsia="微软雅黑"/>
                        <w:color w:val="808080" w:themeColor="background1" w:themeShade="80"/>
                        <w:sz w:val="13"/>
                        <w:szCs w:val="13"/>
                      </w:rPr>
                      <w:t>15</w:t>
                    </w:r>
                    <w:r>
                      <w:rPr>
                        <w:rFonts w:hint="eastAsia" w:ascii="微软雅黑" w:hAnsi="微软雅黑" w:eastAsia="微软雅黑"/>
                        <w:color w:val="808080" w:themeColor="background1" w:themeShade="80"/>
                        <w:sz w:val="13"/>
                        <w:szCs w:val="13"/>
                      </w:rPr>
                      <w:t>号，1</w:t>
                    </w:r>
                    <w:r>
                      <w:rPr>
                        <w:rFonts w:ascii="微软雅黑" w:hAnsi="微软雅黑" w:eastAsia="微软雅黑"/>
                        <w:color w:val="808080" w:themeColor="background1" w:themeShade="80"/>
                        <w:sz w:val="13"/>
                        <w:szCs w:val="13"/>
                      </w:rPr>
                      <w:t>103</w:t>
                    </w:r>
                    <w:r>
                      <w:rPr>
                        <w:rFonts w:hint="eastAsia" w:ascii="微软雅黑" w:hAnsi="微软雅黑" w:eastAsia="微软雅黑"/>
                        <w:color w:val="808080" w:themeColor="background1" w:themeShade="80"/>
                        <w:sz w:val="13"/>
                        <w:szCs w:val="13"/>
                      </w:rPr>
                      <w:t>室</w:t>
                    </w:r>
                  </w:p>
                  <w:p w14:paraId="19439C2A">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Oficina 1103, Rosario Norte 615, Santiago, Chile</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1905</wp:posOffset>
              </wp:positionH>
              <wp:positionV relativeFrom="paragraph">
                <wp:posOffset>-934720</wp:posOffset>
              </wp:positionV>
              <wp:extent cx="5278120" cy="0"/>
              <wp:effectExtent l="0" t="4445" r="8255" b="5080"/>
              <wp:wrapNone/>
              <wp:docPr id="23" name="直线连接符 5"/>
              <wp:cNvGraphicFramePr/>
              <a:graphic xmlns:a="http://schemas.openxmlformats.org/drawingml/2006/main">
                <a:graphicData uri="http://schemas.microsoft.com/office/word/2010/wordprocessingShape">
                  <wps:wsp>
                    <wps:cNvCnPr/>
                    <wps:spPr>
                      <a:xfrm>
                        <a:off x="0" y="0"/>
                        <a:ext cx="5278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5" o:spid="_x0000_s1026" o:spt="20" style="position:absolute;left:0pt;margin-left:0.15pt;margin-top:-73.6pt;height:0pt;width:415.6pt;z-index:251664384;mso-width-relative:page;mso-height-relative:page;" filled="f" stroked="t" coordsize="21600,21600" o:gfxdata="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M0gxNYAAAAKAQAADwAAAAAAAAABACAAAAAiAAAAZHJzL2Rvd25yZXYueG1sUEsBAhQA&#10;FAAAAAgAh07iQK5Femb0AQAA1AMAAA4AAAAAAAAAAQAgAAAAJQEAAGRycy9lMm9Eb2MueG1sUEsF&#10;BgAAAAAGAAYAWQEAAIsFAAAAAA==&#10;">
              <v:fill on="f" focussize="0,0"/>
              <v:stroke color="#000000 [3200]" joinstyle="round"/>
              <v:imagedata o:title=""/>
              <o:lock v:ext="edit" aspectratio="f"/>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290FE">
    <w:pPr>
      <w:pStyle w:val="6"/>
      <w:pBdr>
        <w:top w:val="single" w:color="auto" w:sz="4" w:space="1"/>
      </w:pBdr>
      <w:rPr>
        <w:rFonts w:hint="eastAsia" w:ascii="微软雅黑" w:hAnsi="微软雅黑" w:eastAsia="微软雅黑"/>
        <w:color w:val="808080" w:themeColor="background1" w:themeShade="80"/>
        <w:sz w:val="13"/>
        <w:szCs w:val="13"/>
      </w:rPr>
    </w:pPr>
    <w:r>
      <mc:AlternateContent>
        <mc:Choice Requires="wps">
          <w:drawing>
            <wp:anchor distT="0" distB="0" distL="114300" distR="114300" simplePos="0" relativeHeight="251667456" behindDoc="0" locked="0" layoutInCell="1" allowOverlap="1">
              <wp:simplePos x="0" y="0"/>
              <wp:positionH relativeFrom="column">
                <wp:posOffset>3244850</wp:posOffset>
              </wp:positionH>
              <wp:positionV relativeFrom="paragraph">
                <wp:posOffset>-3175</wp:posOffset>
              </wp:positionV>
              <wp:extent cx="3204845" cy="1568450"/>
              <wp:effectExtent l="0" t="0" r="0" b="0"/>
              <wp:wrapNone/>
              <wp:docPr id="798800118" name="文本框 798800118"/>
              <wp:cNvGraphicFramePr/>
              <a:graphic xmlns:a="http://schemas.openxmlformats.org/drawingml/2006/main">
                <a:graphicData uri="http://schemas.microsoft.com/office/word/2010/wordprocessingShape">
                  <wps:wsp>
                    <wps:cNvSpPr txBox="1"/>
                    <wps:spPr>
                      <a:xfrm>
                        <a:off x="0" y="0"/>
                        <a:ext cx="3204845" cy="1568450"/>
                      </a:xfrm>
                      <a:prstGeom prst="rect">
                        <a:avLst/>
                      </a:prstGeom>
                      <a:noFill/>
                      <a:ln w="6350">
                        <a:noFill/>
                      </a:ln>
                    </wps:spPr>
                    <wps:txbx>
                      <w:txbxContent>
                        <w:p w14:paraId="6915A82C">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智利办公室 Chilean Office</w:t>
                          </w:r>
                        </w:p>
                        <w:p w14:paraId="7EE1825D">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智利 • 圣地亚哥 罗萨里奥北区6</w:t>
                          </w:r>
                          <w:r>
                            <w:rPr>
                              <w:rFonts w:ascii="微软雅黑" w:hAnsi="微软雅黑" w:eastAsia="微软雅黑"/>
                              <w:color w:val="808080" w:themeColor="background1" w:themeShade="80"/>
                              <w:sz w:val="13"/>
                              <w:szCs w:val="13"/>
                            </w:rPr>
                            <w:t>15</w:t>
                          </w:r>
                          <w:r>
                            <w:rPr>
                              <w:rFonts w:hint="eastAsia" w:ascii="微软雅黑" w:hAnsi="微软雅黑" w:eastAsia="微软雅黑"/>
                              <w:color w:val="808080" w:themeColor="background1" w:themeShade="80"/>
                              <w:sz w:val="13"/>
                              <w:szCs w:val="13"/>
                            </w:rPr>
                            <w:t>号，1</w:t>
                          </w:r>
                          <w:r>
                            <w:rPr>
                              <w:rFonts w:ascii="微软雅黑" w:hAnsi="微软雅黑" w:eastAsia="微软雅黑"/>
                              <w:color w:val="808080" w:themeColor="background1" w:themeShade="80"/>
                              <w:sz w:val="13"/>
                              <w:szCs w:val="13"/>
                            </w:rPr>
                            <w:t>103</w:t>
                          </w:r>
                          <w:r>
                            <w:rPr>
                              <w:rFonts w:hint="eastAsia" w:ascii="微软雅黑" w:hAnsi="微软雅黑" w:eastAsia="微软雅黑"/>
                              <w:color w:val="808080" w:themeColor="background1" w:themeShade="80"/>
                              <w:sz w:val="13"/>
                              <w:szCs w:val="13"/>
                            </w:rPr>
                            <w:t>室</w:t>
                          </w:r>
                        </w:p>
                        <w:p w14:paraId="2C531695">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Oficina 1103, Rosario Norte 615, Santiago, Chile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5pt;margin-top:-0.25pt;height:123.5pt;width:252.35pt;z-index:251667456;mso-width-relative:page;mso-height-relative:page;" filled="f" stroked="f" coordsize="21600,21600" o:gfxdata="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97AFtsAAAAKAQAADwAAAAAAAAABACAA&#10;AAAiAAAAZHJzL2Rvd25yZXYueG1sUEsBAhQAFAAAAAgAh07iQCd5q8tDAgAAdwQAAA4AAAAAAAAA&#10;AQAgAAAAKgEAAGRycy9lMm9Eb2MueG1sUEsFBgAAAAAGAAYAWQEAAN8FAAAAAA==&#10;">
              <v:fill on="f" focussize="0,0"/>
              <v:stroke on="f" weight="0.5pt"/>
              <v:imagedata o:title=""/>
              <o:lock v:ext="edit" aspectratio="f"/>
              <v:textbox>
                <w:txbxContent>
                  <w:p w14:paraId="6915A82C">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智利办公室 Chilean Office</w:t>
                    </w:r>
                  </w:p>
                  <w:p w14:paraId="7EE1825D">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智利 • 圣地亚哥 罗萨里奥北区6</w:t>
                    </w:r>
                    <w:r>
                      <w:rPr>
                        <w:rFonts w:ascii="微软雅黑" w:hAnsi="微软雅黑" w:eastAsia="微软雅黑"/>
                        <w:color w:val="808080" w:themeColor="background1" w:themeShade="80"/>
                        <w:sz w:val="13"/>
                        <w:szCs w:val="13"/>
                      </w:rPr>
                      <w:t>15</w:t>
                    </w:r>
                    <w:r>
                      <w:rPr>
                        <w:rFonts w:hint="eastAsia" w:ascii="微软雅黑" w:hAnsi="微软雅黑" w:eastAsia="微软雅黑"/>
                        <w:color w:val="808080" w:themeColor="background1" w:themeShade="80"/>
                        <w:sz w:val="13"/>
                        <w:szCs w:val="13"/>
                      </w:rPr>
                      <w:t>号，1</w:t>
                    </w:r>
                    <w:r>
                      <w:rPr>
                        <w:rFonts w:ascii="微软雅黑" w:hAnsi="微软雅黑" w:eastAsia="微软雅黑"/>
                        <w:color w:val="808080" w:themeColor="background1" w:themeShade="80"/>
                        <w:sz w:val="13"/>
                        <w:szCs w:val="13"/>
                      </w:rPr>
                      <w:t>103</w:t>
                    </w:r>
                    <w:r>
                      <w:rPr>
                        <w:rFonts w:hint="eastAsia" w:ascii="微软雅黑" w:hAnsi="微软雅黑" w:eastAsia="微软雅黑"/>
                        <w:color w:val="808080" w:themeColor="background1" w:themeShade="80"/>
                        <w:sz w:val="13"/>
                        <w:szCs w:val="13"/>
                      </w:rPr>
                      <w:t>室</w:t>
                    </w:r>
                  </w:p>
                  <w:p w14:paraId="2C531695">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Oficina 1103, Rosario Norte 615, Santiago, Chile</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0</wp:posOffset>
              </wp:positionV>
              <wp:extent cx="3204845" cy="654050"/>
              <wp:effectExtent l="0" t="0" r="0" b="0"/>
              <wp:wrapNone/>
              <wp:docPr id="582877024" name="文本框 582877024"/>
              <wp:cNvGraphicFramePr/>
              <a:graphic xmlns:a="http://schemas.openxmlformats.org/drawingml/2006/main">
                <a:graphicData uri="http://schemas.microsoft.com/office/word/2010/wordprocessingShape">
                  <wps:wsp>
                    <wps:cNvSpPr txBox="1"/>
                    <wps:spPr>
                      <a:xfrm>
                        <a:off x="0" y="0"/>
                        <a:ext cx="3204845" cy="654050"/>
                      </a:xfrm>
                      <a:prstGeom prst="rect">
                        <a:avLst/>
                      </a:prstGeom>
                      <a:noFill/>
                      <a:ln w="6350">
                        <a:noFill/>
                      </a:ln>
                    </wps:spPr>
                    <wps:txbx>
                      <w:txbxContent>
                        <w:p w14:paraId="3CA62BD6">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北京办公室 Beijing Office</w:t>
                          </w:r>
                        </w:p>
                        <w:p w14:paraId="4DEC9106">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 xml:space="preserve">中国 </w:t>
                          </w:r>
                          <w:r>
                            <w:rPr>
                              <w:rFonts w:ascii="微软雅黑" w:hAnsi="微软雅黑" w:eastAsia="微软雅黑" w:cs="Courier New"/>
                              <w:color w:val="808080" w:themeColor="background1" w:themeShade="80"/>
                              <w:sz w:val="13"/>
                              <w:szCs w:val="13"/>
                            </w:rPr>
                            <w:t>•</w:t>
                          </w:r>
                          <w:r>
                            <w:rPr>
                              <w:rFonts w:hint="eastAsia" w:ascii="微软雅黑" w:hAnsi="微软雅黑" w:eastAsia="微软雅黑"/>
                              <w:color w:val="808080" w:themeColor="background1" w:themeShade="80"/>
                              <w:sz w:val="13"/>
                              <w:szCs w:val="13"/>
                            </w:rPr>
                            <w:t xml:space="preserve"> 北京 清华大学经济管理学院伟伦楼2</w:t>
                          </w:r>
                          <w:r>
                            <w:rPr>
                              <w:rFonts w:ascii="微软雅黑" w:hAnsi="微软雅黑" w:eastAsia="微软雅黑"/>
                              <w:color w:val="808080" w:themeColor="background1" w:themeShade="80"/>
                              <w:sz w:val="13"/>
                              <w:szCs w:val="13"/>
                            </w:rPr>
                            <w:t>37</w:t>
                          </w:r>
                          <w:r>
                            <w:rPr>
                              <w:rFonts w:hint="eastAsia" w:ascii="微软雅黑" w:hAnsi="微软雅黑" w:eastAsia="微软雅黑"/>
                              <w:color w:val="808080" w:themeColor="background1" w:themeShade="80"/>
                              <w:sz w:val="13"/>
                              <w:szCs w:val="13"/>
                            </w:rPr>
                            <w:t>（100084）</w:t>
                          </w:r>
                        </w:p>
                        <w:p w14:paraId="07847CAF">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Weilun Building 237, Tsinghua SEM, Beijing 100084 P.R. China</w:t>
                          </w:r>
                        </w:p>
                        <w:p w14:paraId="00AFEF77">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Tel: 010-6279 5747   Email: lac@tsinghua.edu.cn</w:t>
                          </w:r>
                        </w:p>
                        <w:p w14:paraId="788249F2">
                          <w:pPr>
                            <w:rPr>
                              <w:rFonts w:hint="eastAsia" w:ascii="微软雅黑" w:hAnsi="微软雅黑" w:eastAsia="微软雅黑"/>
                              <w:color w:val="808080" w:themeColor="background1" w:themeShade="80"/>
                              <w:sz w:val="13"/>
                              <w:szCs w:val="13"/>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0pt;height:51.5pt;width:252.35pt;z-index:251666432;mso-width-relative:page;mso-height-relative:page;" filled="f" stroked="f" coordsize="21600,21600" o:gfxdata="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&#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zArdUAAAAFAQAADwAAAAAAAAABACAAAAAiAAAA&#10;ZHJzL2Rvd25yZXYueG1sUEsBAhQAFAAAAAgAh07iQGGiRupDAgAAdgQAAA4AAAAAAAAAAQAgAAAA&#10;JAEAAGRycy9lMm9Eb2MueG1sUEsFBgAAAAAGAAYAWQEAANkFAAAAAA==&#10;">
              <v:fill on="f" focussize="0,0"/>
              <v:stroke on="f" weight="0.5pt"/>
              <v:imagedata o:title=""/>
              <o:lock v:ext="edit" aspectratio="f"/>
              <v:textbox>
                <w:txbxContent>
                  <w:p w14:paraId="3CA62BD6">
                    <w:pPr>
                      <w:rPr>
                        <w:rFonts w:hint="eastAsia" w:ascii="微软雅黑" w:hAnsi="微软雅黑" w:eastAsia="微软雅黑"/>
                        <w:b/>
                        <w:bCs/>
                        <w:color w:val="808080" w:themeColor="background1" w:themeShade="80"/>
                        <w:sz w:val="13"/>
                        <w:szCs w:val="13"/>
                      </w:rPr>
                    </w:pPr>
                    <w:r>
                      <w:rPr>
                        <w:rFonts w:hint="eastAsia" w:ascii="微软雅黑" w:hAnsi="微软雅黑" w:eastAsia="微软雅黑"/>
                        <w:b/>
                        <w:bCs/>
                        <w:color w:val="808080" w:themeColor="background1" w:themeShade="80"/>
                        <w:sz w:val="13"/>
                        <w:szCs w:val="13"/>
                      </w:rPr>
                      <w:t>北京办公室 Beijing Office</w:t>
                    </w:r>
                  </w:p>
                  <w:p w14:paraId="4DEC9106">
                    <w:pPr>
                      <w:rPr>
                        <w:rFonts w:hint="eastAsia" w:ascii="微软雅黑" w:hAnsi="微软雅黑" w:eastAsia="微软雅黑"/>
                        <w:color w:val="808080" w:themeColor="background1" w:themeShade="80"/>
                        <w:sz w:val="13"/>
                        <w:szCs w:val="13"/>
                      </w:rPr>
                    </w:pPr>
                    <w:r>
                      <w:rPr>
                        <w:rFonts w:hint="eastAsia" w:ascii="微软雅黑" w:hAnsi="微软雅黑" w:eastAsia="微软雅黑"/>
                        <w:color w:val="808080" w:themeColor="background1" w:themeShade="80"/>
                        <w:sz w:val="13"/>
                        <w:szCs w:val="13"/>
                      </w:rPr>
                      <w:t xml:space="preserve">中国 </w:t>
                    </w:r>
                    <w:r>
                      <w:rPr>
                        <w:rFonts w:ascii="微软雅黑" w:hAnsi="微软雅黑" w:eastAsia="微软雅黑" w:cs="Courier New"/>
                        <w:color w:val="808080" w:themeColor="background1" w:themeShade="80"/>
                        <w:sz w:val="13"/>
                        <w:szCs w:val="13"/>
                      </w:rPr>
                      <w:t>•</w:t>
                    </w:r>
                    <w:r>
                      <w:rPr>
                        <w:rFonts w:hint="eastAsia" w:ascii="微软雅黑" w:hAnsi="微软雅黑" w:eastAsia="微软雅黑"/>
                        <w:color w:val="808080" w:themeColor="background1" w:themeShade="80"/>
                        <w:sz w:val="13"/>
                        <w:szCs w:val="13"/>
                      </w:rPr>
                      <w:t xml:space="preserve"> 北京 清华大学经济管理学院伟伦楼2</w:t>
                    </w:r>
                    <w:r>
                      <w:rPr>
                        <w:rFonts w:ascii="微软雅黑" w:hAnsi="微软雅黑" w:eastAsia="微软雅黑"/>
                        <w:color w:val="808080" w:themeColor="background1" w:themeShade="80"/>
                        <w:sz w:val="13"/>
                        <w:szCs w:val="13"/>
                      </w:rPr>
                      <w:t>37</w:t>
                    </w:r>
                    <w:r>
                      <w:rPr>
                        <w:rFonts w:hint="eastAsia" w:ascii="微软雅黑" w:hAnsi="微软雅黑" w:eastAsia="微软雅黑"/>
                        <w:color w:val="808080" w:themeColor="background1" w:themeShade="80"/>
                        <w:sz w:val="13"/>
                        <w:szCs w:val="13"/>
                      </w:rPr>
                      <w:t>（100084）</w:t>
                    </w:r>
                  </w:p>
                  <w:p w14:paraId="07847CAF">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Weilun Building 237, Tsinghua SEM, Beijing 100084 P.R. China</w:t>
                    </w:r>
                  </w:p>
                  <w:p w14:paraId="00AFEF77">
                    <w:pPr>
                      <w:rPr>
                        <w:rFonts w:hint="eastAsia" w:ascii="微软雅黑" w:hAnsi="微软雅黑" w:eastAsia="微软雅黑"/>
                        <w:color w:val="808080" w:themeColor="background1" w:themeShade="80"/>
                        <w:sz w:val="13"/>
                        <w:szCs w:val="13"/>
                      </w:rPr>
                    </w:pPr>
                    <w:r>
                      <w:rPr>
                        <w:rFonts w:ascii="微软雅黑" w:hAnsi="微软雅黑" w:eastAsia="微软雅黑"/>
                        <w:color w:val="808080" w:themeColor="background1" w:themeShade="80"/>
                        <w:sz w:val="13"/>
                        <w:szCs w:val="13"/>
                      </w:rPr>
                      <w:t>Tel: 010-6279 5747   Email: lac@tsinghua.edu.cn</w:t>
                    </w:r>
                  </w:p>
                  <w:p w14:paraId="788249F2">
                    <w:pPr>
                      <w:rPr>
                        <w:rFonts w:hint="eastAsia" w:ascii="微软雅黑" w:hAnsi="微软雅黑" w:eastAsia="微软雅黑"/>
                        <w:color w:val="808080" w:themeColor="background1" w:themeShade="80"/>
                        <w:sz w:val="13"/>
                        <w:szCs w:val="13"/>
                      </w:rPr>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2600960</wp:posOffset>
              </wp:positionH>
              <wp:positionV relativeFrom="paragraph">
                <wp:posOffset>635</wp:posOffset>
              </wp:positionV>
              <wp:extent cx="325120" cy="1828800"/>
              <wp:effectExtent l="0" t="0" r="0" b="14605"/>
              <wp:wrapNone/>
              <wp:docPr id="32" name="文本框 32"/>
              <wp:cNvGraphicFramePr/>
              <a:graphic xmlns:a="http://schemas.openxmlformats.org/drawingml/2006/main">
                <a:graphicData uri="http://schemas.microsoft.com/office/word/2010/wordprocessingShape">
                  <wps:wsp>
                    <wps:cNvSpPr txBox="1"/>
                    <wps:spPr>
                      <a:xfrm>
                        <a:off x="0" y="0"/>
                        <a:ext cx="32506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E3284">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4.8pt;margin-top:0.05pt;height:144pt;width:25.6pt;mso-position-horizontal-relative:margin;z-index:251665408;mso-width-relative:page;mso-height-relative:page;" filled="f" stroked="f" coordsize="21600,21600" o:gfxdata="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BHlzQ1gAAAAgBAAAPAAAAAAAAAAEAIAAAACIAAABkcnMvZG93bnJldi54bWxQ&#10;SwECFAAUAAAACACHTuJAXDL0PDICAABYBAAADgAAAAAAAAABACAAAAAlAQAAZHJzL2Uyb0RvYy54&#10;bWxQSwUGAAAAAAYABgBZAQAAyQUAAAAA&#10;">
              <v:fill on="f" focussize="0,0"/>
              <v:stroke on="f" weight="0.5pt"/>
              <v:imagedata o:title=""/>
              <o:lock v:ext="edit" aspectratio="f"/>
              <v:textbox inset="0mm,0mm,0mm,0mm" style="mso-fit-shape-to-text:t;">
                <w:txbxContent>
                  <w:p w14:paraId="0FBE3284">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3"/>
      </w:rPr>
      <w:id w:val="939957950"/>
    </w:sdtPr>
    <w:sdtEndPr>
      <w:rPr>
        <w:rStyle w:val="13"/>
      </w:rPr>
    </w:sdtEndPr>
    <w:sdtContent>
      <w:p w14:paraId="16541181">
        <w:pPr>
          <w:pStyle w:val="6"/>
          <w:framePr w:wrap="auto" w:vAnchor="text" w:hAnchor="margin" w:xAlign="center" w:y="1"/>
          <w:rPr>
            <w:rStyle w:val="13"/>
          </w:rPr>
        </w:pPr>
        <w:r>
          <w:rPr>
            <w:rStyle w:val="13"/>
          </w:rPr>
          <w:fldChar w:fldCharType="begin"/>
        </w:r>
        <w:r>
          <w:rPr>
            <w:rStyle w:val="13"/>
          </w:rPr>
          <w:instrText xml:space="preserve"> PAGE </w:instrText>
        </w:r>
        <w:r>
          <w:rPr>
            <w:rStyle w:val="13"/>
          </w:rPr>
          <w:fldChar w:fldCharType="end"/>
        </w:r>
      </w:p>
    </w:sdtContent>
  </w:sdt>
  <w:sdt>
    <w:sdtPr>
      <w:rPr>
        <w:rStyle w:val="13"/>
      </w:rPr>
      <w:id w:val="-1"/>
    </w:sdtPr>
    <w:sdtEndPr>
      <w:rPr>
        <w:rStyle w:val="13"/>
      </w:rPr>
    </w:sdtEndPr>
    <w:sdtContent>
      <w:p w14:paraId="32303065">
        <w:pPr>
          <w:pStyle w:val="6"/>
          <w:framePr w:wrap="auto" w:vAnchor="text" w:hAnchor="margin" w:xAlign="center" w:y="1"/>
          <w:rPr>
            <w:rStyle w:val="13"/>
          </w:rPr>
        </w:pPr>
        <w:r>
          <w:rPr>
            <w:rStyle w:val="13"/>
          </w:rPr>
          <w:fldChar w:fldCharType="begin"/>
        </w:r>
        <w:r>
          <w:rPr>
            <w:rStyle w:val="13"/>
          </w:rPr>
          <w:instrText xml:space="preserve"> PAGE </w:instrText>
        </w:r>
        <w:r>
          <w:rPr>
            <w:rStyle w:val="13"/>
          </w:rPr>
          <w:fldChar w:fldCharType="end"/>
        </w:r>
      </w:p>
    </w:sdtContent>
  </w:sdt>
  <w:p w14:paraId="7DBD64CF">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4750E">
    <w:pPr>
      <w:pStyle w:val="7"/>
      <w:pBdr>
        <w:bottom w:val="single" w:color="auto" w:sz="4" w:space="1"/>
      </w:pBdr>
      <w:jc w:val="both"/>
    </w:pPr>
    <w:r>
      <w:rPr>
        <w:rFonts w:hint="eastAsia"/>
      </w:rPr>
      <w:drawing>
        <wp:inline distT="0" distB="0" distL="0" distR="0">
          <wp:extent cx="5274310" cy="683260"/>
          <wp:effectExtent l="0" t="0" r="2540" b="2540"/>
          <wp:docPr id="6" name="图片 6"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10;&#10;AI 生成的内容可能不正确。"/>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74310" cy="6832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55DBA">
    <w:pPr>
      <w:pStyle w:val="7"/>
      <w:pBdr>
        <w:bottom w:val="single" w:color="auto" w:sz="4" w:space="1"/>
      </w:pBdr>
    </w:pPr>
    <w:r>
      <w:rPr>
        <w:rFonts w:hint="eastAsia"/>
      </w:rPr>
      <w:drawing>
        <wp:inline distT="0" distB="0" distL="0" distR="0">
          <wp:extent cx="5274310" cy="683260"/>
          <wp:effectExtent l="0" t="0" r="2540" b="2540"/>
          <wp:docPr id="1156696827" name="图片 1156696827"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96827" name="图片 1156696827" descr="文本&#10;&#10;AI 生成的内容可能不正确。"/>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74310" cy="6832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B06D8"/>
    <w:multiLevelType w:val="singleLevel"/>
    <w:tmpl w:val="88EB06D8"/>
    <w:lvl w:ilvl="0" w:tentative="0">
      <w:start w:val="1"/>
      <w:numFmt w:val="bullet"/>
      <w:lvlText w:val=""/>
      <w:lvlJc w:val="left"/>
      <w:pPr>
        <w:tabs>
          <w:tab w:val="left" w:pos="420"/>
        </w:tabs>
        <w:ind w:left="840" w:hanging="420"/>
      </w:pPr>
      <w:rPr>
        <w:rFonts w:hint="default" w:ascii="Wingdings" w:hAnsi="Wingdings"/>
      </w:rPr>
    </w:lvl>
  </w:abstractNum>
  <w:abstractNum w:abstractNumId="1">
    <w:nsid w:val="9F3EF0BB"/>
    <w:multiLevelType w:val="singleLevel"/>
    <w:tmpl w:val="9F3EF0BB"/>
    <w:lvl w:ilvl="0" w:tentative="0">
      <w:start w:val="1"/>
      <w:numFmt w:val="decimal"/>
      <w:suff w:val="nothing"/>
      <w:lvlText w:val="（%1）"/>
      <w:lvlJc w:val="left"/>
    </w:lvl>
  </w:abstractNum>
  <w:abstractNum w:abstractNumId="2">
    <w:nsid w:val="EF778C9A"/>
    <w:multiLevelType w:val="singleLevel"/>
    <w:tmpl w:val="EF778C9A"/>
    <w:lvl w:ilvl="0" w:tentative="0">
      <w:start w:val="1"/>
      <w:numFmt w:val="bullet"/>
      <w:lvlText w:val=""/>
      <w:lvlJc w:val="left"/>
      <w:pPr>
        <w:ind w:left="860" w:hanging="440"/>
      </w:pPr>
      <w:rPr>
        <w:rFonts w:hint="default" w:ascii="Wingdings" w:hAnsi="Wingdings"/>
        <w:sz w:val="18"/>
        <w:szCs w:val="18"/>
      </w:rPr>
    </w:lvl>
  </w:abstractNum>
  <w:abstractNum w:abstractNumId="3">
    <w:nsid w:val="06953D00"/>
    <w:multiLevelType w:val="multilevel"/>
    <w:tmpl w:val="06953D00"/>
    <w:lvl w:ilvl="0" w:tentative="0">
      <w:start w:val="1"/>
      <w:numFmt w:val="bullet"/>
      <w:lvlText w:val=""/>
      <w:lvlJc w:val="left"/>
      <w:pPr>
        <w:ind w:left="440" w:hanging="440"/>
      </w:pPr>
      <w:rPr>
        <w:rFonts w:hint="default" w:ascii="Wingdings" w:hAnsi="Wingdings"/>
        <w:sz w:val="18"/>
        <w:szCs w:val="18"/>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143913D7"/>
    <w:multiLevelType w:val="multilevel"/>
    <w:tmpl w:val="143913D7"/>
    <w:lvl w:ilvl="0" w:tentative="0">
      <w:start w:val="1"/>
      <w:numFmt w:val="bullet"/>
      <w:lvlText w:val=""/>
      <w:lvlJc w:val="left"/>
      <w:pPr>
        <w:ind w:left="360" w:hanging="360"/>
      </w:pPr>
      <w:rPr>
        <w:rFonts w:hint="default" w:ascii="Wingdings" w:hAnsi="Wingdings"/>
        <w:sz w:val="18"/>
        <w:szCs w:val="18"/>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15225C5A"/>
    <w:multiLevelType w:val="multilevel"/>
    <w:tmpl w:val="15225C5A"/>
    <w:lvl w:ilvl="0" w:tentative="0">
      <w:start w:val="1"/>
      <w:numFmt w:val="bullet"/>
      <w:lvlText w:val=""/>
      <w:lvlJc w:val="left"/>
      <w:pPr>
        <w:ind w:left="440" w:hanging="440"/>
      </w:pPr>
      <w:rPr>
        <w:rFonts w:hint="default" w:ascii="Wingdings" w:hAnsi="Wingdings"/>
        <w:sz w:val="18"/>
        <w:szCs w:val="18"/>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304E6A85"/>
    <w:multiLevelType w:val="multilevel"/>
    <w:tmpl w:val="304E6A85"/>
    <w:lvl w:ilvl="0" w:tentative="0">
      <w:start w:val="1"/>
      <w:numFmt w:val="bullet"/>
      <w:lvlText w:val=""/>
      <w:lvlJc w:val="left"/>
      <w:pPr>
        <w:ind w:left="440" w:hanging="440"/>
      </w:pPr>
      <w:rPr>
        <w:rFonts w:hint="default" w:ascii="Wingdings" w:hAnsi="Wingdings"/>
        <w:sz w:val="18"/>
        <w:szCs w:val="18"/>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3DC86829"/>
    <w:multiLevelType w:val="multilevel"/>
    <w:tmpl w:val="3DC86829"/>
    <w:lvl w:ilvl="0" w:tentative="0">
      <w:start w:val="1"/>
      <w:numFmt w:val="bullet"/>
      <w:lvlText w:val=""/>
      <w:lvlJc w:val="left"/>
      <w:pPr>
        <w:ind w:left="440" w:hanging="440"/>
      </w:pPr>
      <w:rPr>
        <w:rFonts w:hint="default" w:ascii="Wingdings" w:hAnsi="Wingdings"/>
        <w:sz w:val="18"/>
        <w:szCs w:val="18"/>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4176057F"/>
    <w:multiLevelType w:val="multilevel"/>
    <w:tmpl w:val="4176057F"/>
    <w:lvl w:ilvl="0" w:tentative="0">
      <w:start w:val="1"/>
      <w:numFmt w:val="bullet"/>
      <w:lvlText w:val=""/>
      <w:lvlJc w:val="left"/>
      <w:pPr>
        <w:ind w:left="440" w:hanging="440"/>
      </w:pPr>
      <w:rPr>
        <w:rFonts w:hint="default" w:ascii="Wingdings" w:hAnsi="Wingdings"/>
        <w:sz w:val="18"/>
        <w:szCs w:val="18"/>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472E7E9B"/>
    <w:multiLevelType w:val="multilevel"/>
    <w:tmpl w:val="472E7E9B"/>
    <w:lvl w:ilvl="0" w:tentative="0">
      <w:start w:val="3"/>
      <w:numFmt w:val="bullet"/>
      <w:lvlText w:val="-"/>
      <w:lvlJc w:val="left"/>
      <w:pPr>
        <w:ind w:left="1280" w:hanging="440"/>
      </w:pPr>
      <w:rPr>
        <w:rFonts w:hint="default" w:ascii="Arial" w:hAnsi="Arial" w:cs="Arial" w:eastAsiaTheme="minorEastAsia"/>
      </w:rPr>
    </w:lvl>
    <w:lvl w:ilvl="1" w:tentative="0">
      <w:start w:val="1"/>
      <w:numFmt w:val="bullet"/>
      <w:lvlText w:val=""/>
      <w:lvlJc w:val="left"/>
      <w:pPr>
        <w:ind w:left="1720" w:hanging="440"/>
      </w:pPr>
      <w:rPr>
        <w:rFonts w:hint="default" w:ascii="Wingdings" w:hAnsi="Wingdings"/>
      </w:rPr>
    </w:lvl>
    <w:lvl w:ilvl="2" w:tentative="0">
      <w:start w:val="1"/>
      <w:numFmt w:val="bullet"/>
      <w:lvlText w:val=""/>
      <w:lvlJc w:val="left"/>
      <w:pPr>
        <w:ind w:left="2160" w:hanging="440"/>
      </w:pPr>
      <w:rPr>
        <w:rFonts w:hint="default" w:ascii="Wingdings" w:hAnsi="Wingdings"/>
      </w:rPr>
    </w:lvl>
    <w:lvl w:ilvl="3" w:tentative="0">
      <w:start w:val="1"/>
      <w:numFmt w:val="bullet"/>
      <w:lvlText w:val=""/>
      <w:lvlJc w:val="left"/>
      <w:pPr>
        <w:ind w:left="2600" w:hanging="440"/>
      </w:pPr>
      <w:rPr>
        <w:rFonts w:hint="default" w:ascii="Wingdings" w:hAnsi="Wingdings"/>
      </w:rPr>
    </w:lvl>
    <w:lvl w:ilvl="4" w:tentative="0">
      <w:start w:val="1"/>
      <w:numFmt w:val="bullet"/>
      <w:lvlText w:val=""/>
      <w:lvlJc w:val="left"/>
      <w:pPr>
        <w:ind w:left="3040" w:hanging="440"/>
      </w:pPr>
      <w:rPr>
        <w:rFonts w:hint="default" w:ascii="Wingdings" w:hAnsi="Wingdings"/>
      </w:rPr>
    </w:lvl>
    <w:lvl w:ilvl="5" w:tentative="0">
      <w:start w:val="1"/>
      <w:numFmt w:val="bullet"/>
      <w:lvlText w:val=""/>
      <w:lvlJc w:val="left"/>
      <w:pPr>
        <w:ind w:left="3480" w:hanging="440"/>
      </w:pPr>
      <w:rPr>
        <w:rFonts w:hint="default" w:ascii="Wingdings" w:hAnsi="Wingdings"/>
      </w:rPr>
    </w:lvl>
    <w:lvl w:ilvl="6" w:tentative="0">
      <w:start w:val="1"/>
      <w:numFmt w:val="bullet"/>
      <w:lvlText w:val=""/>
      <w:lvlJc w:val="left"/>
      <w:pPr>
        <w:ind w:left="3920" w:hanging="440"/>
      </w:pPr>
      <w:rPr>
        <w:rFonts w:hint="default" w:ascii="Wingdings" w:hAnsi="Wingdings"/>
      </w:rPr>
    </w:lvl>
    <w:lvl w:ilvl="7" w:tentative="0">
      <w:start w:val="1"/>
      <w:numFmt w:val="bullet"/>
      <w:lvlText w:val=""/>
      <w:lvlJc w:val="left"/>
      <w:pPr>
        <w:ind w:left="4360" w:hanging="440"/>
      </w:pPr>
      <w:rPr>
        <w:rFonts w:hint="default" w:ascii="Wingdings" w:hAnsi="Wingdings"/>
      </w:rPr>
    </w:lvl>
    <w:lvl w:ilvl="8" w:tentative="0">
      <w:start w:val="1"/>
      <w:numFmt w:val="bullet"/>
      <w:lvlText w:val=""/>
      <w:lvlJc w:val="left"/>
      <w:pPr>
        <w:ind w:left="4800" w:hanging="440"/>
      </w:pPr>
      <w:rPr>
        <w:rFonts w:hint="default" w:ascii="Wingdings" w:hAnsi="Wingdings"/>
      </w:rPr>
    </w:lvl>
  </w:abstractNum>
  <w:abstractNum w:abstractNumId="10">
    <w:nsid w:val="489D3CE6"/>
    <w:multiLevelType w:val="singleLevel"/>
    <w:tmpl w:val="489D3CE6"/>
    <w:lvl w:ilvl="0" w:tentative="0">
      <w:start w:val="1"/>
      <w:numFmt w:val="bullet"/>
      <w:lvlText w:val=""/>
      <w:lvlJc w:val="left"/>
      <w:pPr>
        <w:tabs>
          <w:tab w:val="left" w:pos="420"/>
        </w:tabs>
        <w:ind w:left="840" w:hanging="420"/>
      </w:pPr>
      <w:rPr>
        <w:rFonts w:hint="default" w:ascii="Wingdings" w:hAnsi="Wingdings"/>
      </w:rPr>
    </w:lvl>
  </w:abstractNum>
  <w:abstractNum w:abstractNumId="11">
    <w:nsid w:val="6EED4105"/>
    <w:multiLevelType w:val="multilevel"/>
    <w:tmpl w:val="6EED4105"/>
    <w:lvl w:ilvl="0" w:tentative="0">
      <w:start w:val="1"/>
      <w:numFmt w:val="bullet"/>
      <w:lvlText w:val=""/>
      <w:lvlJc w:val="left"/>
      <w:pPr>
        <w:ind w:left="440" w:hanging="440"/>
      </w:pPr>
      <w:rPr>
        <w:rFonts w:hint="default" w:ascii="Wingdings" w:hAnsi="Wingdings"/>
        <w:sz w:val="18"/>
        <w:szCs w:val="18"/>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6F014071"/>
    <w:multiLevelType w:val="multilevel"/>
    <w:tmpl w:val="6F014071"/>
    <w:lvl w:ilvl="0" w:tentative="0">
      <w:start w:val="1"/>
      <w:numFmt w:val="bullet"/>
      <w:lvlText w:val=""/>
      <w:lvlJc w:val="left"/>
      <w:pPr>
        <w:ind w:left="868" w:hanging="440"/>
      </w:pPr>
      <w:rPr>
        <w:rFonts w:hint="default" w:ascii="Wingdings" w:hAnsi="Wingdings"/>
      </w:rPr>
    </w:lvl>
    <w:lvl w:ilvl="1" w:tentative="0">
      <w:start w:val="1"/>
      <w:numFmt w:val="bullet"/>
      <w:lvlText w:val=""/>
      <w:lvlJc w:val="left"/>
      <w:pPr>
        <w:ind w:left="1308" w:hanging="440"/>
      </w:pPr>
      <w:rPr>
        <w:rFonts w:hint="default" w:ascii="Wingdings" w:hAnsi="Wingdings"/>
      </w:rPr>
    </w:lvl>
    <w:lvl w:ilvl="2" w:tentative="0">
      <w:start w:val="1"/>
      <w:numFmt w:val="bullet"/>
      <w:lvlText w:val=""/>
      <w:lvlJc w:val="left"/>
      <w:pPr>
        <w:ind w:left="1748" w:hanging="440"/>
      </w:pPr>
      <w:rPr>
        <w:rFonts w:hint="default" w:ascii="Wingdings" w:hAnsi="Wingdings"/>
      </w:rPr>
    </w:lvl>
    <w:lvl w:ilvl="3" w:tentative="0">
      <w:start w:val="1"/>
      <w:numFmt w:val="bullet"/>
      <w:lvlText w:val=""/>
      <w:lvlJc w:val="left"/>
      <w:pPr>
        <w:ind w:left="2188" w:hanging="440"/>
      </w:pPr>
      <w:rPr>
        <w:rFonts w:hint="default" w:ascii="Wingdings" w:hAnsi="Wingdings"/>
      </w:rPr>
    </w:lvl>
    <w:lvl w:ilvl="4" w:tentative="0">
      <w:start w:val="1"/>
      <w:numFmt w:val="bullet"/>
      <w:lvlText w:val=""/>
      <w:lvlJc w:val="left"/>
      <w:pPr>
        <w:ind w:left="2628" w:hanging="440"/>
      </w:pPr>
      <w:rPr>
        <w:rFonts w:hint="default" w:ascii="Wingdings" w:hAnsi="Wingdings"/>
      </w:rPr>
    </w:lvl>
    <w:lvl w:ilvl="5" w:tentative="0">
      <w:start w:val="1"/>
      <w:numFmt w:val="bullet"/>
      <w:lvlText w:val=""/>
      <w:lvlJc w:val="left"/>
      <w:pPr>
        <w:ind w:left="3068" w:hanging="440"/>
      </w:pPr>
      <w:rPr>
        <w:rFonts w:hint="default" w:ascii="Wingdings" w:hAnsi="Wingdings"/>
      </w:rPr>
    </w:lvl>
    <w:lvl w:ilvl="6" w:tentative="0">
      <w:start w:val="1"/>
      <w:numFmt w:val="bullet"/>
      <w:lvlText w:val=""/>
      <w:lvlJc w:val="left"/>
      <w:pPr>
        <w:ind w:left="3508" w:hanging="440"/>
      </w:pPr>
      <w:rPr>
        <w:rFonts w:hint="default" w:ascii="Wingdings" w:hAnsi="Wingdings"/>
      </w:rPr>
    </w:lvl>
    <w:lvl w:ilvl="7" w:tentative="0">
      <w:start w:val="1"/>
      <w:numFmt w:val="bullet"/>
      <w:lvlText w:val=""/>
      <w:lvlJc w:val="left"/>
      <w:pPr>
        <w:ind w:left="3948" w:hanging="440"/>
      </w:pPr>
      <w:rPr>
        <w:rFonts w:hint="default" w:ascii="Wingdings" w:hAnsi="Wingdings"/>
      </w:rPr>
    </w:lvl>
    <w:lvl w:ilvl="8" w:tentative="0">
      <w:start w:val="1"/>
      <w:numFmt w:val="bullet"/>
      <w:lvlText w:val=""/>
      <w:lvlJc w:val="left"/>
      <w:pPr>
        <w:ind w:left="4388" w:hanging="440"/>
      </w:pPr>
      <w:rPr>
        <w:rFonts w:hint="default" w:ascii="Wingdings" w:hAnsi="Wingdings"/>
      </w:rPr>
    </w:lvl>
  </w:abstractNum>
  <w:abstractNum w:abstractNumId="13">
    <w:nsid w:val="70A248B4"/>
    <w:multiLevelType w:val="multilevel"/>
    <w:tmpl w:val="70A248B4"/>
    <w:lvl w:ilvl="0" w:tentative="0">
      <w:start w:val="1"/>
      <w:numFmt w:val="bullet"/>
      <w:lvlText w:val=""/>
      <w:lvlJc w:val="left"/>
      <w:pPr>
        <w:ind w:left="1280" w:hanging="440"/>
      </w:pPr>
      <w:rPr>
        <w:rFonts w:hint="default" w:ascii="Wingdings" w:hAnsi="Wingdings"/>
      </w:rPr>
    </w:lvl>
    <w:lvl w:ilvl="1" w:tentative="0">
      <w:start w:val="1"/>
      <w:numFmt w:val="bullet"/>
      <w:lvlText w:val=""/>
      <w:lvlJc w:val="left"/>
      <w:pPr>
        <w:ind w:left="1720" w:hanging="440"/>
      </w:pPr>
      <w:rPr>
        <w:rFonts w:hint="default" w:ascii="Wingdings" w:hAnsi="Wingdings"/>
      </w:rPr>
    </w:lvl>
    <w:lvl w:ilvl="2" w:tentative="0">
      <w:start w:val="1"/>
      <w:numFmt w:val="bullet"/>
      <w:lvlText w:val=""/>
      <w:lvlJc w:val="left"/>
      <w:pPr>
        <w:ind w:left="2160" w:hanging="440"/>
      </w:pPr>
      <w:rPr>
        <w:rFonts w:hint="default" w:ascii="Wingdings" w:hAnsi="Wingdings"/>
      </w:rPr>
    </w:lvl>
    <w:lvl w:ilvl="3" w:tentative="0">
      <w:start w:val="1"/>
      <w:numFmt w:val="bullet"/>
      <w:lvlText w:val=""/>
      <w:lvlJc w:val="left"/>
      <w:pPr>
        <w:ind w:left="2600" w:hanging="440"/>
      </w:pPr>
      <w:rPr>
        <w:rFonts w:hint="default" w:ascii="Wingdings" w:hAnsi="Wingdings"/>
      </w:rPr>
    </w:lvl>
    <w:lvl w:ilvl="4" w:tentative="0">
      <w:start w:val="1"/>
      <w:numFmt w:val="bullet"/>
      <w:lvlText w:val=""/>
      <w:lvlJc w:val="left"/>
      <w:pPr>
        <w:ind w:left="3040" w:hanging="440"/>
      </w:pPr>
      <w:rPr>
        <w:rFonts w:hint="default" w:ascii="Wingdings" w:hAnsi="Wingdings"/>
      </w:rPr>
    </w:lvl>
    <w:lvl w:ilvl="5" w:tentative="0">
      <w:start w:val="1"/>
      <w:numFmt w:val="bullet"/>
      <w:lvlText w:val=""/>
      <w:lvlJc w:val="left"/>
      <w:pPr>
        <w:ind w:left="3480" w:hanging="440"/>
      </w:pPr>
      <w:rPr>
        <w:rFonts w:hint="default" w:ascii="Wingdings" w:hAnsi="Wingdings"/>
      </w:rPr>
    </w:lvl>
    <w:lvl w:ilvl="6" w:tentative="0">
      <w:start w:val="1"/>
      <w:numFmt w:val="bullet"/>
      <w:lvlText w:val=""/>
      <w:lvlJc w:val="left"/>
      <w:pPr>
        <w:ind w:left="3920" w:hanging="440"/>
      </w:pPr>
      <w:rPr>
        <w:rFonts w:hint="default" w:ascii="Wingdings" w:hAnsi="Wingdings"/>
      </w:rPr>
    </w:lvl>
    <w:lvl w:ilvl="7" w:tentative="0">
      <w:start w:val="1"/>
      <w:numFmt w:val="bullet"/>
      <w:lvlText w:val=""/>
      <w:lvlJc w:val="left"/>
      <w:pPr>
        <w:ind w:left="4360" w:hanging="440"/>
      </w:pPr>
      <w:rPr>
        <w:rFonts w:hint="default" w:ascii="Wingdings" w:hAnsi="Wingdings"/>
      </w:rPr>
    </w:lvl>
    <w:lvl w:ilvl="8" w:tentative="0">
      <w:start w:val="1"/>
      <w:numFmt w:val="bullet"/>
      <w:lvlText w:val=""/>
      <w:lvlJc w:val="left"/>
      <w:pPr>
        <w:ind w:left="4800" w:hanging="440"/>
      </w:pPr>
      <w:rPr>
        <w:rFonts w:hint="default" w:ascii="Wingdings" w:hAnsi="Wingdings"/>
      </w:rPr>
    </w:lvl>
  </w:abstractNum>
  <w:abstractNum w:abstractNumId="14">
    <w:nsid w:val="75EA72D3"/>
    <w:multiLevelType w:val="multilevel"/>
    <w:tmpl w:val="75EA72D3"/>
    <w:lvl w:ilvl="0" w:tentative="0">
      <w:start w:val="1"/>
      <w:numFmt w:val="bullet"/>
      <w:lvlText w:val=""/>
      <w:lvlJc w:val="left"/>
      <w:pPr>
        <w:ind w:left="440" w:hanging="440"/>
      </w:pPr>
      <w:rPr>
        <w:rFonts w:hint="default" w:ascii="Wingdings" w:hAnsi="Wingdings"/>
        <w:sz w:val="18"/>
        <w:szCs w:val="18"/>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0"/>
  </w:num>
  <w:num w:numId="2">
    <w:abstractNumId w:val="9"/>
  </w:num>
  <w:num w:numId="3">
    <w:abstractNumId w:val="10"/>
  </w:num>
  <w:num w:numId="4">
    <w:abstractNumId w:val="13"/>
  </w:num>
  <w:num w:numId="5">
    <w:abstractNumId w:val="2"/>
  </w:num>
  <w:num w:numId="6">
    <w:abstractNumId w:val="5"/>
  </w:num>
  <w:num w:numId="7">
    <w:abstractNumId w:val="11"/>
  </w:num>
  <w:num w:numId="8">
    <w:abstractNumId w:val="8"/>
  </w:num>
  <w:num w:numId="9">
    <w:abstractNumId w:val="4"/>
  </w:num>
  <w:num w:numId="10">
    <w:abstractNumId w:val="7"/>
  </w:num>
  <w:num w:numId="11">
    <w:abstractNumId w:val="6"/>
  </w:num>
  <w:num w:numId="12">
    <w:abstractNumId w:val="14"/>
  </w:num>
  <w:num w:numId="13">
    <w:abstractNumId w:val="3"/>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JjMTBmYWYxZmQzNjExNjE2MzhiMjM1OGY0NGVhYmMifQ=="/>
  </w:docVars>
  <w:rsids>
    <w:rsidRoot w:val="0026253B"/>
    <w:rsid w:val="00001820"/>
    <w:rsid w:val="00004FBD"/>
    <w:rsid w:val="000117D3"/>
    <w:rsid w:val="000120A9"/>
    <w:rsid w:val="000144B6"/>
    <w:rsid w:val="00015182"/>
    <w:rsid w:val="000166BE"/>
    <w:rsid w:val="00016FD2"/>
    <w:rsid w:val="00017D47"/>
    <w:rsid w:val="00021D4E"/>
    <w:rsid w:val="00021DC5"/>
    <w:rsid w:val="0002347C"/>
    <w:rsid w:val="0002691B"/>
    <w:rsid w:val="00026BF1"/>
    <w:rsid w:val="000272A7"/>
    <w:rsid w:val="000277F2"/>
    <w:rsid w:val="00031EBB"/>
    <w:rsid w:val="00034346"/>
    <w:rsid w:val="00035A84"/>
    <w:rsid w:val="000362B0"/>
    <w:rsid w:val="00037FEE"/>
    <w:rsid w:val="000432E8"/>
    <w:rsid w:val="000516B7"/>
    <w:rsid w:val="000548BF"/>
    <w:rsid w:val="0005498B"/>
    <w:rsid w:val="0005734A"/>
    <w:rsid w:val="00057C46"/>
    <w:rsid w:val="00063556"/>
    <w:rsid w:val="00064F49"/>
    <w:rsid w:val="000651B3"/>
    <w:rsid w:val="00072B18"/>
    <w:rsid w:val="00073B87"/>
    <w:rsid w:val="0007549C"/>
    <w:rsid w:val="000761AA"/>
    <w:rsid w:val="00080A96"/>
    <w:rsid w:val="00083380"/>
    <w:rsid w:val="000933A4"/>
    <w:rsid w:val="000A6177"/>
    <w:rsid w:val="000B21AA"/>
    <w:rsid w:val="000B44F1"/>
    <w:rsid w:val="000C062C"/>
    <w:rsid w:val="000C107D"/>
    <w:rsid w:val="000C3DC2"/>
    <w:rsid w:val="000C441D"/>
    <w:rsid w:val="000C76C4"/>
    <w:rsid w:val="000C77E3"/>
    <w:rsid w:val="000D158A"/>
    <w:rsid w:val="000D2A49"/>
    <w:rsid w:val="000D4DC2"/>
    <w:rsid w:val="000E0180"/>
    <w:rsid w:val="000E0F08"/>
    <w:rsid w:val="000E3C13"/>
    <w:rsid w:val="000E3CF4"/>
    <w:rsid w:val="000E4377"/>
    <w:rsid w:val="000E58C1"/>
    <w:rsid w:val="000F2704"/>
    <w:rsid w:val="0010072A"/>
    <w:rsid w:val="001015A7"/>
    <w:rsid w:val="00101B6B"/>
    <w:rsid w:val="00102C5C"/>
    <w:rsid w:val="0010321B"/>
    <w:rsid w:val="001047B2"/>
    <w:rsid w:val="00110207"/>
    <w:rsid w:val="001136E7"/>
    <w:rsid w:val="00113B9A"/>
    <w:rsid w:val="001157BC"/>
    <w:rsid w:val="0011690E"/>
    <w:rsid w:val="00120C26"/>
    <w:rsid w:val="00126DED"/>
    <w:rsid w:val="00134553"/>
    <w:rsid w:val="001353F3"/>
    <w:rsid w:val="00136142"/>
    <w:rsid w:val="00136595"/>
    <w:rsid w:val="001405FD"/>
    <w:rsid w:val="00150758"/>
    <w:rsid w:val="00152861"/>
    <w:rsid w:val="00152BBA"/>
    <w:rsid w:val="001537D1"/>
    <w:rsid w:val="00154364"/>
    <w:rsid w:val="00156D2B"/>
    <w:rsid w:val="00162507"/>
    <w:rsid w:val="00162FAC"/>
    <w:rsid w:val="00163870"/>
    <w:rsid w:val="00164338"/>
    <w:rsid w:val="0016576F"/>
    <w:rsid w:val="001667E7"/>
    <w:rsid w:val="001674CC"/>
    <w:rsid w:val="00167FE2"/>
    <w:rsid w:val="00170B65"/>
    <w:rsid w:val="00171C45"/>
    <w:rsid w:val="00174386"/>
    <w:rsid w:val="00180A02"/>
    <w:rsid w:val="00190703"/>
    <w:rsid w:val="001A300E"/>
    <w:rsid w:val="001B197A"/>
    <w:rsid w:val="001B2C31"/>
    <w:rsid w:val="001B4B20"/>
    <w:rsid w:val="001C4A58"/>
    <w:rsid w:val="001D0A38"/>
    <w:rsid w:val="001D2437"/>
    <w:rsid w:val="001D2F1B"/>
    <w:rsid w:val="001D556B"/>
    <w:rsid w:val="001E0235"/>
    <w:rsid w:val="001E3FDE"/>
    <w:rsid w:val="001E57AF"/>
    <w:rsid w:val="001F0535"/>
    <w:rsid w:val="001F1D95"/>
    <w:rsid w:val="001F2451"/>
    <w:rsid w:val="00200046"/>
    <w:rsid w:val="00200ED5"/>
    <w:rsid w:val="0020384D"/>
    <w:rsid w:val="00205C0C"/>
    <w:rsid w:val="002134D0"/>
    <w:rsid w:val="00217308"/>
    <w:rsid w:val="00217C2E"/>
    <w:rsid w:val="0022129F"/>
    <w:rsid w:val="002235FB"/>
    <w:rsid w:val="002275AE"/>
    <w:rsid w:val="002279F7"/>
    <w:rsid w:val="00227B19"/>
    <w:rsid w:val="00227CD3"/>
    <w:rsid w:val="00230293"/>
    <w:rsid w:val="00230460"/>
    <w:rsid w:val="00233BA6"/>
    <w:rsid w:val="00234181"/>
    <w:rsid w:val="0023448F"/>
    <w:rsid w:val="0024141B"/>
    <w:rsid w:val="00242985"/>
    <w:rsid w:val="00243F4A"/>
    <w:rsid w:val="00246DF9"/>
    <w:rsid w:val="002478A5"/>
    <w:rsid w:val="00252EEC"/>
    <w:rsid w:val="00254ED2"/>
    <w:rsid w:val="00256097"/>
    <w:rsid w:val="00256FC0"/>
    <w:rsid w:val="002608CB"/>
    <w:rsid w:val="0026253B"/>
    <w:rsid w:val="00262725"/>
    <w:rsid w:val="00262A46"/>
    <w:rsid w:val="00266508"/>
    <w:rsid w:val="002700DA"/>
    <w:rsid w:val="002709C2"/>
    <w:rsid w:val="00276C28"/>
    <w:rsid w:val="00277195"/>
    <w:rsid w:val="00277357"/>
    <w:rsid w:val="00283C8D"/>
    <w:rsid w:val="00284B4E"/>
    <w:rsid w:val="00286DC3"/>
    <w:rsid w:val="002903B9"/>
    <w:rsid w:val="002907B5"/>
    <w:rsid w:val="00291685"/>
    <w:rsid w:val="002926E1"/>
    <w:rsid w:val="00292AFB"/>
    <w:rsid w:val="00294C76"/>
    <w:rsid w:val="00297650"/>
    <w:rsid w:val="002A04AB"/>
    <w:rsid w:val="002A3B2B"/>
    <w:rsid w:val="002A7D28"/>
    <w:rsid w:val="002A7FD5"/>
    <w:rsid w:val="002B019B"/>
    <w:rsid w:val="002B145A"/>
    <w:rsid w:val="002B6A00"/>
    <w:rsid w:val="002B7FB4"/>
    <w:rsid w:val="002C4467"/>
    <w:rsid w:val="002D371C"/>
    <w:rsid w:val="002D37AE"/>
    <w:rsid w:val="002D4720"/>
    <w:rsid w:val="002D6BA6"/>
    <w:rsid w:val="002E1F0F"/>
    <w:rsid w:val="002E7BAB"/>
    <w:rsid w:val="002F0C9D"/>
    <w:rsid w:val="002F2D9A"/>
    <w:rsid w:val="002F408B"/>
    <w:rsid w:val="002F4CB2"/>
    <w:rsid w:val="002F6F90"/>
    <w:rsid w:val="002F7E83"/>
    <w:rsid w:val="00303076"/>
    <w:rsid w:val="00303F2F"/>
    <w:rsid w:val="0030711E"/>
    <w:rsid w:val="00307184"/>
    <w:rsid w:val="00312D4E"/>
    <w:rsid w:val="0031449A"/>
    <w:rsid w:val="00314627"/>
    <w:rsid w:val="00314F1A"/>
    <w:rsid w:val="003178AD"/>
    <w:rsid w:val="00321EC9"/>
    <w:rsid w:val="00323DA1"/>
    <w:rsid w:val="0032629B"/>
    <w:rsid w:val="003301D0"/>
    <w:rsid w:val="00342721"/>
    <w:rsid w:val="00346D03"/>
    <w:rsid w:val="00346EA2"/>
    <w:rsid w:val="003478BA"/>
    <w:rsid w:val="00351AA9"/>
    <w:rsid w:val="00352DC6"/>
    <w:rsid w:val="00367205"/>
    <w:rsid w:val="003676CE"/>
    <w:rsid w:val="00374DD6"/>
    <w:rsid w:val="00385916"/>
    <w:rsid w:val="00386250"/>
    <w:rsid w:val="00390399"/>
    <w:rsid w:val="00396CCE"/>
    <w:rsid w:val="00397FE4"/>
    <w:rsid w:val="003A5BA1"/>
    <w:rsid w:val="003A6593"/>
    <w:rsid w:val="003A7DAE"/>
    <w:rsid w:val="003B239D"/>
    <w:rsid w:val="003B2E0B"/>
    <w:rsid w:val="003C3B77"/>
    <w:rsid w:val="003C6329"/>
    <w:rsid w:val="003C74D5"/>
    <w:rsid w:val="003D1612"/>
    <w:rsid w:val="003D39EA"/>
    <w:rsid w:val="003D6D1A"/>
    <w:rsid w:val="003D7950"/>
    <w:rsid w:val="003E4064"/>
    <w:rsid w:val="003E5833"/>
    <w:rsid w:val="003E665F"/>
    <w:rsid w:val="003E6FB3"/>
    <w:rsid w:val="003F5436"/>
    <w:rsid w:val="00405303"/>
    <w:rsid w:val="004128B0"/>
    <w:rsid w:val="004152C1"/>
    <w:rsid w:val="00416B7B"/>
    <w:rsid w:val="0042123B"/>
    <w:rsid w:val="00432D4A"/>
    <w:rsid w:val="0043639B"/>
    <w:rsid w:val="004415B9"/>
    <w:rsid w:val="00441841"/>
    <w:rsid w:val="0044372F"/>
    <w:rsid w:val="004453BB"/>
    <w:rsid w:val="00447827"/>
    <w:rsid w:val="00452031"/>
    <w:rsid w:val="0045238A"/>
    <w:rsid w:val="004538D6"/>
    <w:rsid w:val="00453D80"/>
    <w:rsid w:val="00455F6F"/>
    <w:rsid w:val="0045633C"/>
    <w:rsid w:val="004571DA"/>
    <w:rsid w:val="0046686A"/>
    <w:rsid w:val="00470A69"/>
    <w:rsid w:val="00471018"/>
    <w:rsid w:val="00471FA5"/>
    <w:rsid w:val="00472385"/>
    <w:rsid w:val="00473D80"/>
    <w:rsid w:val="00474658"/>
    <w:rsid w:val="00475C0A"/>
    <w:rsid w:val="00476BAC"/>
    <w:rsid w:val="004840AD"/>
    <w:rsid w:val="004869D1"/>
    <w:rsid w:val="00486CD8"/>
    <w:rsid w:val="004902ED"/>
    <w:rsid w:val="00490380"/>
    <w:rsid w:val="00490AF7"/>
    <w:rsid w:val="004944ED"/>
    <w:rsid w:val="00495A62"/>
    <w:rsid w:val="00496463"/>
    <w:rsid w:val="004A1B8D"/>
    <w:rsid w:val="004A3057"/>
    <w:rsid w:val="004A535B"/>
    <w:rsid w:val="004B1286"/>
    <w:rsid w:val="004C077B"/>
    <w:rsid w:val="004C428C"/>
    <w:rsid w:val="004D097C"/>
    <w:rsid w:val="004D4B4F"/>
    <w:rsid w:val="004E108E"/>
    <w:rsid w:val="004E5D4E"/>
    <w:rsid w:val="004E7107"/>
    <w:rsid w:val="004F09AD"/>
    <w:rsid w:val="004F1B98"/>
    <w:rsid w:val="004F6800"/>
    <w:rsid w:val="00502080"/>
    <w:rsid w:val="00502663"/>
    <w:rsid w:val="0050616C"/>
    <w:rsid w:val="00510BDE"/>
    <w:rsid w:val="00512381"/>
    <w:rsid w:val="00513739"/>
    <w:rsid w:val="00513B9F"/>
    <w:rsid w:val="00514D1F"/>
    <w:rsid w:val="0051578E"/>
    <w:rsid w:val="00516031"/>
    <w:rsid w:val="005167BC"/>
    <w:rsid w:val="0052111A"/>
    <w:rsid w:val="0052240C"/>
    <w:rsid w:val="00524B54"/>
    <w:rsid w:val="00524CF3"/>
    <w:rsid w:val="00527757"/>
    <w:rsid w:val="005279B3"/>
    <w:rsid w:val="00527D18"/>
    <w:rsid w:val="005300DB"/>
    <w:rsid w:val="00536D02"/>
    <w:rsid w:val="00547E35"/>
    <w:rsid w:val="005549C8"/>
    <w:rsid w:val="00555743"/>
    <w:rsid w:val="00556BCA"/>
    <w:rsid w:val="00556C57"/>
    <w:rsid w:val="00556E53"/>
    <w:rsid w:val="00562F03"/>
    <w:rsid w:val="00564C7D"/>
    <w:rsid w:val="005651E8"/>
    <w:rsid w:val="0056563A"/>
    <w:rsid w:val="00567927"/>
    <w:rsid w:val="00567AB5"/>
    <w:rsid w:val="00571C19"/>
    <w:rsid w:val="00573094"/>
    <w:rsid w:val="00573EC7"/>
    <w:rsid w:val="00577495"/>
    <w:rsid w:val="00577965"/>
    <w:rsid w:val="00585915"/>
    <w:rsid w:val="00587288"/>
    <w:rsid w:val="005910A4"/>
    <w:rsid w:val="005914AD"/>
    <w:rsid w:val="005943C5"/>
    <w:rsid w:val="005A054E"/>
    <w:rsid w:val="005A23D7"/>
    <w:rsid w:val="005A2B67"/>
    <w:rsid w:val="005A2BA8"/>
    <w:rsid w:val="005A3FE1"/>
    <w:rsid w:val="005B0543"/>
    <w:rsid w:val="005B15D7"/>
    <w:rsid w:val="005B3DBF"/>
    <w:rsid w:val="005B6486"/>
    <w:rsid w:val="005C02E6"/>
    <w:rsid w:val="005C0570"/>
    <w:rsid w:val="005C358F"/>
    <w:rsid w:val="005C70BF"/>
    <w:rsid w:val="005C7DA4"/>
    <w:rsid w:val="005E031E"/>
    <w:rsid w:val="005E04F8"/>
    <w:rsid w:val="005E0645"/>
    <w:rsid w:val="005E22EF"/>
    <w:rsid w:val="005E369F"/>
    <w:rsid w:val="005E4990"/>
    <w:rsid w:val="005F01A1"/>
    <w:rsid w:val="005F0642"/>
    <w:rsid w:val="005F4031"/>
    <w:rsid w:val="005F4BA9"/>
    <w:rsid w:val="005F56B6"/>
    <w:rsid w:val="0061224E"/>
    <w:rsid w:val="00612910"/>
    <w:rsid w:val="0061646B"/>
    <w:rsid w:val="00625BBF"/>
    <w:rsid w:val="006275C9"/>
    <w:rsid w:val="00630818"/>
    <w:rsid w:val="00633A61"/>
    <w:rsid w:val="0063464B"/>
    <w:rsid w:val="006374CB"/>
    <w:rsid w:val="00637838"/>
    <w:rsid w:val="00640DEA"/>
    <w:rsid w:val="00642AD8"/>
    <w:rsid w:val="0064329D"/>
    <w:rsid w:val="006479ED"/>
    <w:rsid w:val="00653674"/>
    <w:rsid w:val="00654865"/>
    <w:rsid w:val="00654A6C"/>
    <w:rsid w:val="00654BD0"/>
    <w:rsid w:val="006623AE"/>
    <w:rsid w:val="006623F9"/>
    <w:rsid w:val="00663080"/>
    <w:rsid w:val="00670CBF"/>
    <w:rsid w:val="00671580"/>
    <w:rsid w:val="00673FFA"/>
    <w:rsid w:val="006745E0"/>
    <w:rsid w:val="0068052D"/>
    <w:rsid w:val="00682A09"/>
    <w:rsid w:val="00683A91"/>
    <w:rsid w:val="0068596C"/>
    <w:rsid w:val="006939EA"/>
    <w:rsid w:val="00694786"/>
    <w:rsid w:val="00696DB8"/>
    <w:rsid w:val="006975E2"/>
    <w:rsid w:val="006B09FA"/>
    <w:rsid w:val="006B38E1"/>
    <w:rsid w:val="006C3CF9"/>
    <w:rsid w:val="006C4471"/>
    <w:rsid w:val="006D1858"/>
    <w:rsid w:val="006E4232"/>
    <w:rsid w:val="006E4BE9"/>
    <w:rsid w:val="006E5641"/>
    <w:rsid w:val="006F04A0"/>
    <w:rsid w:val="006F0908"/>
    <w:rsid w:val="006F4655"/>
    <w:rsid w:val="006F73EA"/>
    <w:rsid w:val="007029F6"/>
    <w:rsid w:val="00704105"/>
    <w:rsid w:val="00705A16"/>
    <w:rsid w:val="0070669D"/>
    <w:rsid w:val="0071554D"/>
    <w:rsid w:val="007164F4"/>
    <w:rsid w:val="0072048C"/>
    <w:rsid w:val="00726967"/>
    <w:rsid w:val="007327A3"/>
    <w:rsid w:val="00732B59"/>
    <w:rsid w:val="00733C91"/>
    <w:rsid w:val="00735959"/>
    <w:rsid w:val="007362CD"/>
    <w:rsid w:val="00736B9C"/>
    <w:rsid w:val="007462B2"/>
    <w:rsid w:val="00751C0D"/>
    <w:rsid w:val="00752D3D"/>
    <w:rsid w:val="00755909"/>
    <w:rsid w:val="00757417"/>
    <w:rsid w:val="00761A19"/>
    <w:rsid w:val="00770AD4"/>
    <w:rsid w:val="0077231A"/>
    <w:rsid w:val="007743D6"/>
    <w:rsid w:val="007777A1"/>
    <w:rsid w:val="00783987"/>
    <w:rsid w:val="00784545"/>
    <w:rsid w:val="00784A4E"/>
    <w:rsid w:val="00786CA8"/>
    <w:rsid w:val="0079132B"/>
    <w:rsid w:val="00793A37"/>
    <w:rsid w:val="007A3ED3"/>
    <w:rsid w:val="007B2193"/>
    <w:rsid w:val="007B2475"/>
    <w:rsid w:val="007B3215"/>
    <w:rsid w:val="007B57A2"/>
    <w:rsid w:val="007C1B2D"/>
    <w:rsid w:val="007C34FA"/>
    <w:rsid w:val="007C3DD1"/>
    <w:rsid w:val="007C407B"/>
    <w:rsid w:val="007C47A3"/>
    <w:rsid w:val="007C493C"/>
    <w:rsid w:val="007C7390"/>
    <w:rsid w:val="007C7E6D"/>
    <w:rsid w:val="007D09B8"/>
    <w:rsid w:val="007D1B6A"/>
    <w:rsid w:val="007D29CC"/>
    <w:rsid w:val="007D799A"/>
    <w:rsid w:val="007E09EB"/>
    <w:rsid w:val="007E0F9F"/>
    <w:rsid w:val="007F553F"/>
    <w:rsid w:val="007F63A4"/>
    <w:rsid w:val="008034D6"/>
    <w:rsid w:val="00804C82"/>
    <w:rsid w:val="00806A04"/>
    <w:rsid w:val="0080718C"/>
    <w:rsid w:val="00812004"/>
    <w:rsid w:val="00817750"/>
    <w:rsid w:val="0082020D"/>
    <w:rsid w:val="00820C2D"/>
    <w:rsid w:val="00821333"/>
    <w:rsid w:val="00824706"/>
    <w:rsid w:val="00842D3B"/>
    <w:rsid w:val="00843B4F"/>
    <w:rsid w:val="008462EA"/>
    <w:rsid w:val="00853FB5"/>
    <w:rsid w:val="00855E9F"/>
    <w:rsid w:val="008606B4"/>
    <w:rsid w:val="00863642"/>
    <w:rsid w:val="008653DA"/>
    <w:rsid w:val="00866DA2"/>
    <w:rsid w:val="00871848"/>
    <w:rsid w:val="00872B1C"/>
    <w:rsid w:val="00875581"/>
    <w:rsid w:val="00876371"/>
    <w:rsid w:val="008802B1"/>
    <w:rsid w:val="008828FE"/>
    <w:rsid w:val="00887F18"/>
    <w:rsid w:val="0089309E"/>
    <w:rsid w:val="00893F82"/>
    <w:rsid w:val="00895FE2"/>
    <w:rsid w:val="008A397B"/>
    <w:rsid w:val="008A3CAA"/>
    <w:rsid w:val="008A4E62"/>
    <w:rsid w:val="008A6D73"/>
    <w:rsid w:val="008A7A04"/>
    <w:rsid w:val="008B15C8"/>
    <w:rsid w:val="008B2DB0"/>
    <w:rsid w:val="008B38AA"/>
    <w:rsid w:val="008B5668"/>
    <w:rsid w:val="008C0567"/>
    <w:rsid w:val="008C22B5"/>
    <w:rsid w:val="008C3CAD"/>
    <w:rsid w:val="008D03C6"/>
    <w:rsid w:val="008D7B35"/>
    <w:rsid w:val="008E2E66"/>
    <w:rsid w:val="008F02F1"/>
    <w:rsid w:val="008F0633"/>
    <w:rsid w:val="008F0FFF"/>
    <w:rsid w:val="008F1216"/>
    <w:rsid w:val="008F60AF"/>
    <w:rsid w:val="008F6C3C"/>
    <w:rsid w:val="008F75F3"/>
    <w:rsid w:val="009019B4"/>
    <w:rsid w:val="00905A2A"/>
    <w:rsid w:val="00910E90"/>
    <w:rsid w:val="00913F79"/>
    <w:rsid w:val="0091718A"/>
    <w:rsid w:val="00924C52"/>
    <w:rsid w:val="009257BD"/>
    <w:rsid w:val="00926B2B"/>
    <w:rsid w:val="009345B5"/>
    <w:rsid w:val="00934BF0"/>
    <w:rsid w:val="0093682F"/>
    <w:rsid w:val="00942D9D"/>
    <w:rsid w:val="009442EC"/>
    <w:rsid w:val="00951FF8"/>
    <w:rsid w:val="00952E6E"/>
    <w:rsid w:val="009551B7"/>
    <w:rsid w:val="009566FA"/>
    <w:rsid w:val="00962392"/>
    <w:rsid w:val="00964C30"/>
    <w:rsid w:val="00970BA9"/>
    <w:rsid w:val="009761D5"/>
    <w:rsid w:val="00976738"/>
    <w:rsid w:val="00976983"/>
    <w:rsid w:val="0098143B"/>
    <w:rsid w:val="00987107"/>
    <w:rsid w:val="009945A8"/>
    <w:rsid w:val="00994B1D"/>
    <w:rsid w:val="00994EC7"/>
    <w:rsid w:val="00996399"/>
    <w:rsid w:val="009A0423"/>
    <w:rsid w:val="009A08F4"/>
    <w:rsid w:val="009B0659"/>
    <w:rsid w:val="009B1564"/>
    <w:rsid w:val="009B17FA"/>
    <w:rsid w:val="009B37B0"/>
    <w:rsid w:val="009B42B4"/>
    <w:rsid w:val="009B4F4F"/>
    <w:rsid w:val="009C294E"/>
    <w:rsid w:val="009C30BB"/>
    <w:rsid w:val="009C5208"/>
    <w:rsid w:val="009D2091"/>
    <w:rsid w:val="009D43E1"/>
    <w:rsid w:val="009D4C1E"/>
    <w:rsid w:val="009D4FAA"/>
    <w:rsid w:val="009D5F1D"/>
    <w:rsid w:val="009D7E8E"/>
    <w:rsid w:val="009E0A08"/>
    <w:rsid w:val="009E30E2"/>
    <w:rsid w:val="009E735A"/>
    <w:rsid w:val="009E7930"/>
    <w:rsid w:val="009F0D59"/>
    <w:rsid w:val="009F146B"/>
    <w:rsid w:val="009F5F2D"/>
    <w:rsid w:val="009F78B9"/>
    <w:rsid w:val="00A00BB3"/>
    <w:rsid w:val="00A03851"/>
    <w:rsid w:val="00A03B53"/>
    <w:rsid w:val="00A04E28"/>
    <w:rsid w:val="00A11F10"/>
    <w:rsid w:val="00A12750"/>
    <w:rsid w:val="00A13B81"/>
    <w:rsid w:val="00A160B7"/>
    <w:rsid w:val="00A25417"/>
    <w:rsid w:val="00A26C58"/>
    <w:rsid w:val="00A26C8A"/>
    <w:rsid w:val="00A30C4E"/>
    <w:rsid w:val="00A361E3"/>
    <w:rsid w:val="00A37AF2"/>
    <w:rsid w:val="00A37D14"/>
    <w:rsid w:val="00A37DA3"/>
    <w:rsid w:val="00A42C44"/>
    <w:rsid w:val="00A43549"/>
    <w:rsid w:val="00A44664"/>
    <w:rsid w:val="00A44B85"/>
    <w:rsid w:val="00A47D0A"/>
    <w:rsid w:val="00A54020"/>
    <w:rsid w:val="00A551F7"/>
    <w:rsid w:val="00A60E41"/>
    <w:rsid w:val="00A6441E"/>
    <w:rsid w:val="00A66FEA"/>
    <w:rsid w:val="00A71B1B"/>
    <w:rsid w:val="00A72493"/>
    <w:rsid w:val="00A73D8E"/>
    <w:rsid w:val="00A8069A"/>
    <w:rsid w:val="00A83BC8"/>
    <w:rsid w:val="00A840EE"/>
    <w:rsid w:val="00A9391E"/>
    <w:rsid w:val="00A95225"/>
    <w:rsid w:val="00A95579"/>
    <w:rsid w:val="00AA0641"/>
    <w:rsid w:val="00AA1FC3"/>
    <w:rsid w:val="00AA7685"/>
    <w:rsid w:val="00AB4BB0"/>
    <w:rsid w:val="00AB563B"/>
    <w:rsid w:val="00AB6A80"/>
    <w:rsid w:val="00AB781D"/>
    <w:rsid w:val="00AB78AB"/>
    <w:rsid w:val="00AC085B"/>
    <w:rsid w:val="00AD7BD8"/>
    <w:rsid w:val="00AE37F7"/>
    <w:rsid w:val="00AE4E86"/>
    <w:rsid w:val="00AE7D4E"/>
    <w:rsid w:val="00AF1BA1"/>
    <w:rsid w:val="00AF2EF2"/>
    <w:rsid w:val="00AF33B1"/>
    <w:rsid w:val="00AF5413"/>
    <w:rsid w:val="00AF56AE"/>
    <w:rsid w:val="00AF6270"/>
    <w:rsid w:val="00B0054B"/>
    <w:rsid w:val="00B1073B"/>
    <w:rsid w:val="00B11ED2"/>
    <w:rsid w:val="00B12AC8"/>
    <w:rsid w:val="00B130FD"/>
    <w:rsid w:val="00B15043"/>
    <w:rsid w:val="00B20C11"/>
    <w:rsid w:val="00B20D26"/>
    <w:rsid w:val="00B25A77"/>
    <w:rsid w:val="00B265F7"/>
    <w:rsid w:val="00B269D2"/>
    <w:rsid w:val="00B26ABA"/>
    <w:rsid w:val="00B27949"/>
    <w:rsid w:val="00B33AEE"/>
    <w:rsid w:val="00B357EA"/>
    <w:rsid w:val="00B3634A"/>
    <w:rsid w:val="00B4017C"/>
    <w:rsid w:val="00B43700"/>
    <w:rsid w:val="00B450DD"/>
    <w:rsid w:val="00B45C23"/>
    <w:rsid w:val="00B47F0E"/>
    <w:rsid w:val="00B51587"/>
    <w:rsid w:val="00B54459"/>
    <w:rsid w:val="00B5451A"/>
    <w:rsid w:val="00B55AE9"/>
    <w:rsid w:val="00B56D25"/>
    <w:rsid w:val="00B609B1"/>
    <w:rsid w:val="00B624E1"/>
    <w:rsid w:val="00B66C4C"/>
    <w:rsid w:val="00B70E7C"/>
    <w:rsid w:val="00B71B78"/>
    <w:rsid w:val="00B7304F"/>
    <w:rsid w:val="00B817D4"/>
    <w:rsid w:val="00B87101"/>
    <w:rsid w:val="00B87524"/>
    <w:rsid w:val="00B9048F"/>
    <w:rsid w:val="00B9309B"/>
    <w:rsid w:val="00B9525F"/>
    <w:rsid w:val="00B96458"/>
    <w:rsid w:val="00B97776"/>
    <w:rsid w:val="00B97A43"/>
    <w:rsid w:val="00BA17B7"/>
    <w:rsid w:val="00BA4811"/>
    <w:rsid w:val="00BB0D35"/>
    <w:rsid w:val="00BC1A1B"/>
    <w:rsid w:val="00BC2AEB"/>
    <w:rsid w:val="00BC3C80"/>
    <w:rsid w:val="00BC4CB5"/>
    <w:rsid w:val="00BC4DE4"/>
    <w:rsid w:val="00BC7763"/>
    <w:rsid w:val="00BD0DCE"/>
    <w:rsid w:val="00BD1282"/>
    <w:rsid w:val="00BD31A7"/>
    <w:rsid w:val="00BD6805"/>
    <w:rsid w:val="00BE1E9D"/>
    <w:rsid w:val="00BE2777"/>
    <w:rsid w:val="00BE2FD6"/>
    <w:rsid w:val="00BE7209"/>
    <w:rsid w:val="00BE7C50"/>
    <w:rsid w:val="00BF61CD"/>
    <w:rsid w:val="00C00290"/>
    <w:rsid w:val="00C00D3E"/>
    <w:rsid w:val="00C01F6D"/>
    <w:rsid w:val="00C04AFE"/>
    <w:rsid w:val="00C1015A"/>
    <w:rsid w:val="00C143C0"/>
    <w:rsid w:val="00C14CB7"/>
    <w:rsid w:val="00C172AB"/>
    <w:rsid w:val="00C22D9B"/>
    <w:rsid w:val="00C278BD"/>
    <w:rsid w:val="00C31B25"/>
    <w:rsid w:val="00C3542A"/>
    <w:rsid w:val="00C37985"/>
    <w:rsid w:val="00C52449"/>
    <w:rsid w:val="00C54378"/>
    <w:rsid w:val="00C57666"/>
    <w:rsid w:val="00C57DF5"/>
    <w:rsid w:val="00C6320D"/>
    <w:rsid w:val="00C64289"/>
    <w:rsid w:val="00C64D74"/>
    <w:rsid w:val="00C70DFB"/>
    <w:rsid w:val="00C74811"/>
    <w:rsid w:val="00C80A61"/>
    <w:rsid w:val="00C8139F"/>
    <w:rsid w:val="00C8187A"/>
    <w:rsid w:val="00C824AA"/>
    <w:rsid w:val="00C82D5F"/>
    <w:rsid w:val="00C84190"/>
    <w:rsid w:val="00C873D4"/>
    <w:rsid w:val="00C87535"/>
    <w:rsid w:val="00C954C9"/>
    <w:rsid w:val="00C97475"/>
    <w:rsid w:val="00CA4682"/>
    <w:rsid w:val="00CA52A7"/>
    <w:rsid w:val="00CC041E"/>
    <w:rsid w:val="00CC1D34"/>
    <w:rsid w:val="00CC3763"/>
    <w:rsid w:val="00CC4807"/>
    <w:rsid w:val="00CC5004"/>
    <w:rsid w:val="00CC7E81"/>
    <w:rsid w:val="00CD0D6E"/>
    <w:rsid w:val="00CE3EC9"/>
    <w:rsid w:val="00CF1EAC"/>
    <w:rsid w:val="00CF2CD2"/>
    <w:rsid w:val="00CF41E8"/>
    <w:rsid w:val="00D00D11"/>
    <w:rsid w:val="00D01A73"/>
    <w:rsid w:val="00D02F4A"/>
    <w:rsid w:val="00D05CC6"/>
    <w:rsid w:val="00D137FE"/>
    <w:rsid w:val="00D152C3"/>
    <w:rsid w:val="00D15673"/>
    <w:rsid w:val="00D22A3E"/>
    <w:rsid w:val="00D22E4A"/>
    <w:rsid w:val="00D274EB"/>
    <w:rsid w:val="00D30F72"/>
    <w:rsid w:val="00D33C3D"/>
    <w:rsid w:val="00D34903"/>
    <w:rsid w:val="00D44793"/>
    <w:rsid w:val="00D453AC"/>
    <w:rsid w:val="00D51A3A"/>
    <w:rsid w:val="00D52991"/>
    <w:rsid w:val="00D54516"/>
    <w:rsid w:val="00D5493C"/>
    <w:rsid w:val="00D54F70"/>
    <w:rsid w:val="00D54F9C"/>
    <w:rsid w:val="00D67373"/>
    <w:rsid w:val="00D67C83"/>
    <w:rsid w:val="00D71131"/>
    <w:rsid w:val="00D735C7"/>
    <w:rsid w:val="00D74D49"/>
    <w:rsid w:val="00D74F2C"/>
    <w:rsid w:val="00D76A67"/>
    <w:rsid w:val="00D80D4D"/>
    <w:rsid w:val="00D85C03"/>
    <w:rsid w:val="00D8625F"/>
    <w:rsid w:val="00D86E56"/>
    <w:rsid w:val="00DA1FE2"/>
    <w:rsid w:val="00DA2B94"/>
    <w:rsid w:val="00DA30E8"/>
    <w:rsid w:val="00DA4B41"/>
    <w:rsid w:val="00DA5C7E"/>
    <w:rsid w:val="00DA7B97"/>
    <w:rsid w:val="00DC0A6F"/>
    <w:rsid w:val="00DC35F6"/>
    <w:rsid w:val="00DC53A5"/>
    <w:rsid w:val="00DC69E1"/>
    <w:rsid w:val="00DD01AD"/>
    <w:rsid w:val="00DD27CF"/>
    <w:rsid w:val="00DD2F50"/>
    <w:rsid w:val="00DD7D02"/>
    <w:rsid w:val="00DE19DC"/>
    <w:rsid w:val="00DE2AB2"/>
    <w:rsid w:val="00DE2C5D"/>
    <w:rsid w:val="00DE38C9"/>
    <w:rsid w:val="00DE6C29"/>
    <w:rsid w:val="00DF216E"/>
    <w:rsid w:val="00E009BB"/>
    <w:rsid w:val="00E03D30"/>
    <w:rsid w:val="00E1002A"/>
    <w:rsid w:val="00E130DA"/>
    <w:rsid w:val="00E1587D"/>
    <w:rsid w:val="00E17058"/>
    <w:rsid w:val="00E24B87"/>
    <w:rsid w:val="00E25D49"/>
    <w:rsid w:val="00E265EC"/>
    <w:rsid w:val="00E34C26"/>
    <w:rsid w:val="00E40329"/>
    <w:rsid w:val="00E41054"/>
    <w:rsid w:val="00E410BA"/>
    <w:rsid w:val="00E421BA"/>
    <w:rsid w:val="00E423CA"/>
    <w:rsid w:val="00E44852"/>
    <w:rsid w:val="00E470FF"/>
    <w:rsid w:val="00E57F29"/>
    <w:rsid w:val="00E60224"/>
    <w:rsid w:val="00E67DA9"/>
    <w:rsid w:val="00E71812"/>
    <w:rsid w:val="00E86530"/>
    <w:rsid w:val="00E93297"/>
    <w:rsid w:val="00E94E49"/>
    <w:rsid w:val="00EA22FC"/>
    <w:rsid w:val="00EA2809"/>
    <w:rsid w:val="00EA420A"/>
    <w:rsid w:val="00EA5223"/>
    <w:rsid w:val="00EB2CCD"/>
    <w:rsid w:val="00EB45D5"/>
    <w:rsid w:val="00EB4FE8"/>
    <w:rsid w:val="00EB71B2"/>
    <w:rsid w:val="00EB7E94"/>
    <w:rsid w:val="00EC21A2"/>
    <w:rsid w:val="00EC243D"/>
    <w:rsid w:val="00EC3D5E"/>
    <w:rsid w:val="00EC6CAE"/>
    <w:rsid w:val="00EE0DC1"/>
    <w:rsid w:val="00EE1606"/>
    <w:rsid w:val="00EE382A"/>
    <w:rsid w:val="00EE3C5C"/>
    <w:rsid w:val="00EE44F5"/>
    <w:rsid w:val="00EE5A9E"/>
    <w:rsid w:val="00EE5BBE"/>
    <w:rsid w:val="00EE669D"/>
    <w:rsid w:val="00EF3321"/>
    <w:rsid w:val="00EF390F"/>
    <w:rsid w:val="00EF3ED3"/>
    <w:rsid w:val="00EF52EE"/>
    <w:rsid w:val="00EF7361"/>
    <w:rsid w:val="00F026B7"/>
    <w:rsid w:val="00F05B28"/>
    <w:rsid w:val="00F110D0"/>
    <w:rsid w:val="00F14CA0"/>
    <w:rsid w:val="00F162E7"/>
    <w:rsid w:val="00F20835"/>
    <w:rsid w:val="00F2156D"/>
    <w:rsid w:val="00F237C1"/>
    <w:rsid w:val="00F24B86"/>
    <w:rsid w:val="00F31BAC"/>
    <w:rsid w:val="00F36B2F"/>
    <w:rsid w:val="00F37563"/>
    <w:rsid w:val="00F37B73"/>
    <w:rsid w:val="00F37EC2"/>
    <w:rsid w:val="00F44F95"/>
    <w:rsid w:val="00F45BCD"/>
    <w:rsid w:val="00F50143"/>
    <w:rsid w:val="00F52871"/>
    <w:rsid w:val="00F53809"/>
    <w:rsid w:val="00F564F1"/>
    <w:rsid w:val="00F65878"/>
    <w:rsid w:val="00F70713"/>
    <w:rsid w:val="00F722FB"/>
    <w:rsid w:val="00F740B9"/>
    <w:rsid w:val="00F85158"/>
    <w:rsid w:val="00F87A7D"/>
    <w:rsid w:val="00F90F5B"/>
    <w:rsid w:val="00F936AE"/>
    <w:rsid w:val="00FA0DA4"/>
    <w:rsid w:val="00FA20EE"/>
    <w:rsid w:val="00FB4BF7"/>
    <w:rsid w:val="00FB5150"/>
    <w:rsid w:val="00FC41A6"/>
    <w:rsid w:val="00FC4461"/>
    <w:rsid w:val="00FC5347"/>
    <w:rsid w:val="00FD2741"/>
    <w:rsid w:val="00FD2793"/>
    <w:rsid w:val="00FD3A6D"/>
    <w:rsid w:val="00FE140D"/>
    <w:rsid w:val="00FE1754"/>
    <w:rsid w:val="00FE1DDB"/>
    <w:rsid w:val="00FE26C1"/>
    <w:rsid w:val="00FE42AD"/>
    <w:rsid w:val="00FE54B1"/>
    <w:rsid w:val="00FE5911"/>
    <w:rsid w:val="00FE76D4"/>
    <w:rsid w:val="00FF5C58"/>
    <w:rsid w:val="020B5EE9"/>
    <w:rsid w:val="025D214D"/>
    <w:rsid w:val="04EB6681"/>
    <w:rsid w:val="055E085F"/>
    <w:rsid w:val="076304B9"/>
    <w:rsid w:val="08184537"/>
    <w:rsid w:val="08DA6D78"/>
    <w:rsid w:val="090853BD"/>
    <w:rsid w:val="09716C86"/>
    <w:rsid w:val="0A3A4C1B"/>
    <w:rsid w:val="0A66372A"/>
    <w:rsid w:val="0B6147F1"/>
    <w:rsid w:val="0BEE2CF9"/>
    <w:rsid w:val="0CB06B5C"/>
    <w:rsid w:val="0D767E6A"/>
    <w:rsid w:val="0E1C70B3"/>
    <w:rsid w:val="12145005"/>
    <w:rsid w:val="124C7C00"/>
    <w:rsid w:val="12915003"/>
    <w:rsid w:val="12D9043A"/>
    <w:rsid w:val="151822A2"/>
    <w:rsid w:val="159F14ED"/>
    <w:rsid w:val="16877AC5"/>
    <w:rsid w:val="16E23BEF"/>
    <w:rsid w:val="1706177D"/>
    <w:rsid w:val="171D6AAA"/>
    <w:rsid w:val="17783BF7"/>
    <w:rsid w:val="18536CE8"/>
    <w:rsid w:val="19EA7DAB"/>
    <w:rsid w:val="1B0263A1"/>
    <w:rsid w:val="1D517B25"/>
    <w:rsid w:val="1D7D1F09"/>
    <w:rsid w:val="1D86477C"/>
    <w:rsid w:val="1EDF599A"/>
    <w:rsid w:val="22E771D2"/>
    <w:rsid w:val="234A7171"/>
    <w:rsid w:val="234B6EF7"/>
    <w:rsid w:val="266F298F"/>
    <w:rsid w:val="270A465B"/>
    <w:rsid w:val="28E70E00"/>
    <w:rsid w:val="297B3BC8"/>
    <w:rsid w:val="299B0C52"/>
    <w:rsid w:val="2C807614"/>
    <w:rsid w:val="2D017EE1"/>
    <w:rsid w:val="2D693C91"/>
    <w:rsid w:val="2DA4721C"/>
    <w:rsid w:val="2E821DA4"/>
    <w:rsid w:val="2ED27DE6"/>
    <w:rsid w:val="2F0B703D"/>
    <w:rsid w:val="2FA65001"/>
    <w:rsid w:val="30992EEF"/>
    <w:rsid w:val="3198766B"/>
    <w:rsid w:val="31A87906"/>
    <w:rsid w:val="338A143E"/>
    <w:rsid w:val="34EFF03D"/>
    <w:rsid w:val="3655211E"/>
    <w:rsid w:val="38095082"/>
    <w:rsid w:val="38840130"/>
    <w:rsid w:val="393336BE"/>
    <w:rsid w:val="3B9567C5"/>
    <w:rsid w:val="3BE0124A"/>
    <w:rsid w:val="3BE46372"/>
    <w:rsid w:val="3D87287F"/>
    <w:rsid w:val="3EF9145C"/>
    <w:rsid w:val="3F083718"/>
    <w:rsid w:val="3F9F3D14"/>
    <w:rsid w:val="41FB2309"/>
    <w:rsid w:val="42BD668F"/>
    <w:rsid w:val="433E6C89"/>
    <w:rsid w:val="44B563F8"/>
    <w:rsid w:val="45A97786"/>
    <w:rsid w:val="46513FED"/>
    <w:rsid w:val="47320729"/>
    <w:rsid w:val="487D32FD"/>
    <w:rsid w:val="4AE649F0"/>
    <w:rsid w:val="4C5D49C4"/>
    <w:rsid w:val="4D7B209D"/>
    <w:rsid w:val="50CA2BBB"/>
    <w:rsid w:val="51870FF7"/>
    <w:rsid w:val="52C36E64"/>
    <w:rsid w:val="54005B5D"/>
    <w:rsid w:val="55C74888"/>
    <w:rsid w:val="5747758B"/>
    <w:rsid w:val="58FF3A11"/>
    <w:rsid w:val="5955311B"/>
    <w:rsid w:val="595C0562"/>
    <w:rsid w:val="59F559CB"/>
    <w:rsid w:val="5A07301A"/>
    <w:rsid w:val="5DBE6D5D"/>
    <w:rsid w:val="5DC374E2"/>
    <w:rsid w:val="5E8C22E9"/>
    <w:rsid w:val="5F2924A8"/>
    <w:rsid w:val="5FE8690B"/>
    <w:rsid w:val="60243AEA"/>
    <w:rsid w:val="61E202A7"/>
    <w:rsid w:val="628C7CD0"/>
    <w:rsid w:val="64975D48"/>
    <w:rsid w:val="64B95152"/>
    <w:rsid w:val="68093E63"/>
    <w:rsid w:val="680B10C1"/>
    <w:rsid w:val="689C6793"/>
    <w:rsid w:val="691559D7"/>
    <w:rsid w:val="694D7A8E"/>
    <w:rsid w:val="6A1C709E"/>
    <w:rsid w:val="6ADF78E5"/>
    <w:rsid w:val="6C6828C7"/>
    <w:rsid w:val="6CBF5146"/>
    <w:rsid w:val="6D9C0FE4"/>
    <w:rsid w:val="6DC11E18"/>
    <w:rsid w:val="6EAB66A1"/>
    <w:rsid w:val="6F383944"/>
    <w:rsid w:val="72AC1CC9"/>
    <w:rsid w:val="72FC167C"/>
    <w:rsid w:val="73704F29"/>
    <w:rsid w:val="75E17FAF"/>
    <w:rsid w:val="7A527E3C"/>
    <w:rsid w:val="7B97648D"/>
    <w:rsid w:val="7F381952"/>
    <w:rsid w:val="7F912972"/>
    <w:rsid w:val="B5FDF05A"/>
    <w:rsid w:val="F35C0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5"/>
    <w:basedOn w:val="1"/>
    <w:next w:val="1"/>
    <w:semiHidden/>
    <w:unhideWhenUsed/>
    <w:qFormat/>
    <w:uiPriority w:val="9"/>
    <w:pPr>
      <w:keepNext/>
      <w:keepLines/>
      <w:spacing w:before="280" w:after="290" w:line="372" w:lineRule="auto"/>
      <w:outlineLvl w:val="4"/>
    </w:pPr>
    <w:rPr>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w:basedOn w:val="1"/>
    <w:link w:val="18"/>
    <w:qFormat/>
    <w:uiPriority w:val="1"/>
    <w:pPr>
      <w:autoSpaceDE w:val="0"/>
      <w:autoSpaceDN w:val="0"/>
      <w:adjustRightInd w:val="0"/>
      <w:ind w:left="140" w:firstLine="705"/>
      <w:jc w:val="left"/>
    </w:pPr>
    <w:rPr>
      <w:rFonts w:ascii="仿宋" w:hAnsi="Times New Roman" w:eastAsia="仿宋" w:cs="仿宋"/>
      <w:kern w:val="0"/>
      <w:sz w:val="32"/>
      <w:szCs w:val="32"/>
    </w:rPr>
  </w:style>
  <w:style w:type="paragraph" w:styleId="6">
    <w:name w:val="footer"/>
    <w:basedOn w:val="1"/>
    <w:link w:val="20"/>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rPr>
      <w:szCs w:val="24"/>
    </w:rPr>
  </w:style>
  <w:style w:type="paragraph" w:styleId="9">
    <w:name w:val="toc 2"/>
    <w:basedOn w:val="1"/>
    <w:next w:val="1"/>
    <w:unhideWhenUsed/>
    <w:qFormat/>
    <w:uiPriority w:val="39"/>
    <w:pPr>
      <w:ind w:left="420" w:leftChars="200"/>
    </w:p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semiHidden/>
    <w:unhideWhenUsed/>
    <w:qFormat/>
    <w:uiPriority w:val="99"/>
  </w:style>
  <w:style w:type="character" w:styleId="14">
    <w:name w:val="FollowedHyperlink"/>
    <w:basedOn w:val="12"/>
    <w:semiHidden/>
    <w:unhideWhenUsed/>
    <w:qFormat/>
    <w:uiPriority w:val="99"/>
    <w:rPr>
      <w:color w:val="800080" w:themeColor="followedHyperlink"/>
      <w:u w:val="single"/>
      <w14:textFill>
        <w14:solidFill>
          <w14:schemeClr w14:val="folHlink"/>
        </w14:solidFill>
      </w14:textFill>
    </w:rPr>
  </w:style>
  <w:style w:type="character" w:styleId="15">
    <w:name w:val="Hyperlink"/>
    <w:basedOn w:val="12"/>
    <w:unhideWhenUsed/>
    <w:qFormat/>
    <w:uiPriority w:val="99"/>
    <w:rPr>
      <w:color w:val="0000FF" w:themeColor="hyperlink"/>
      <w:u w:val="single"/>
      <w14:textFill>
        <w14:solidFill>
          <w14:schemeClr w14:val="hlink"/>
        </w14:solidFill>
      </w14:textFill>
    </w:rPr>
  </w:style>
  <w:style w:type="character" w:styleId="16">
    <w:name w:val="annotation reference"/>
    <w:basedOn w:val="12"/>
    <w:semiHidden/>
    <w:unhideWhenUsed/>
    <w:qFormat/>
    <w:uiPriority w:val="99"/>
    <w:rPr>
      <w:sz w:val="21"/>
      <w:szCs w:val="21"/>
    </w:rPr>
  </w:style>
  <w:style w:type="paragraph" w:styleId="17">
    <w:name w:val="List Paragraph"/>
    <w:basedOn w:val="1"/>
    <w:qFormat/>
    <w:uiPriority w:val="34"/>
    <w:pPr>
      <w:ind w:firstLine="420" w:firstLineChars="200"/>
    </w:pPr>
  </w:style>
  <w:style w:type="character" w:customStyle="1" w:styleId="18">
    <w:name w:val="正文文本 字符"/>
    <w:basedOn w:val="12"/>
    <w:link w:val="5"/>
    <w:qFormat/>
    <w:uiPriority w:val="1"/>
    <w:rPr>
      <w:rFonts w:ascii="仿宋" w:hAnsi="Times New Roman" w:eastAsia="仿宋" w:cs="仿宋"/>
      <w:kern w:val="0"/>
      <w:sz w:val="32"/>
      <w:szCs w:val="32"/>
    </w:rPr>
  </w:style>
  <w:style w:type="character" w:customStyle="1" w:styleId="19">
    <w:name w:val="页眉 字符"/>
    <w:basedOn w:val="12"/>
    <w:link w:val="7"/>
    <w:qFormat/>
    <w:uiPriority w:val="99"/>
    <w:rPr>
      <w:sz w:val="18"/>
      <w:szCs w:val="18"/>
    </w:rPr>
  </w:style>
  <w:style w:type="character" w:customStyle="1" w:styleId="20">
    <w:name w:val="页脚 字符"/>
    <w:basedOn w:val="12"/>
    <w:link w:val="6"/>
    <w:qFormat/>
    <w:uiPriority w:val="99"/>
    <w:rPr>
      <w:sz w:val="18"/>
      <w:szCs w:val="18"/>
    </w:rPr>
  </w:style>
  <w:style w:type="character" w:customStyle="1" w:styleId="21">
    <w:name w:val="未处理的提及1"/>
    <w:basedOn w:val="12"/>
    <w:semiHidden/>
    <w:unhideWhenUsed/>
    <w:qFormat/>
    <w:uiPriority w:val="99"/>
    <w:rPr>
      <w:color w:val="605E5C"/>
      <w:shd w:val="clear" w:color="auto" w:fill="E1DFDD"/>
    </w:rPr>
  </w:style>
  <w:style w:type="paragraph" w:customStyle="1" w:styleId="22">
    <w:name w:val="样式1"/>
    <w:basedOn w:val="1"/>
    <w:next w:val="1"/>
    <w:qFormat/>
    <w:uiPriority w:val="0"/>
    <w:pPr>
      <w:spacing w:beforeAutospacing="1" w:afterAutospacing="1" w:line="360" w:lineRule="auto"/>
      <w:jc w:val="left"/>
      <w:outlineLvl w:val="0"/>
    </w:pPr>
    <w:rPr>
      <w:rFonts w:hint="eastAsia" w:ascii="宋体" w:hAnsi="宋体" w:eastAsia="宋体" w:cs="Times New Roman"/>
      <w:b/>
      <w:bCs/>
      <w:kern w:val="44"/>
      <w:sz w:val="28"/>
      <w:szCs w:val="48"/>
    </w:rPr>
  </w:style>
  <w:style w:type="character" w:customStyle="1" w:styleId="23">
    <w:name w:val="样式2 字符"/>
    <w:link w:val="24"/>
    <w:qFormat/>
    <w:uiPriority w:val="0"/>
    <w:rPr>
      <w:rFonts w:ascii="Times New Roman" w:hAnsi="Times New Roman" w:eastAsia="宋体" w:cs="Times New Roman"/>
      <w:b/>
      <w:bCs/>
      <w:color w:val="000000" w:themeColor="text1"/>
      <w:kern w:val="2"/>
      <w:sz w:val="21"/>
      <w:szCs w:val="22"/>
      <w14:textFill>
        <w14:solidFill>
          <w14:schemeClr w14:val="tx1"/>
        </w14:solidFill>
      </w14:textFill>
    </w:rPr>
  </w:style>
  <w:style w:type="paragraph" w:customStyle="1" w:styleId="24">
    <w:name w:val="样式2"/>
    <w:basedOn w:val="1"/>
    <w:link w:val="23"/>
    <w:qFormat/>
    <w:uiPriority w:val="0"/>
    <w:pPr>
      <w:tabs>
        <w:tab w:val="left" w:pos="420"/>
      </w:tabs>
      <w:spacing w:line="360" w:lineRule="auto"/>
      <w:outlineLvl w:val="1"/>
    </w:pPr>
    <w:rPr>
      <w:rFonts w:ascii="Times New Roman" w:hAnsi="Times New Roman" w:eastAsia="宋体" w:cs="Times New Roman"/>
      <w:b/>
      <w:bCs/>
      <w:color w:val="000000" w:themeColor="text1"/>
      <w14:textFill>
        <w14:solidFill>
          <w14:schemeClr w14:val="tx1"/>
        </w14:solidFill>
      </w14:textFill>
    </w:rPr>
  </w:style>
  <w:style w:type="paragraph" w:customStyle="1" w:styleId="25">
    <w:name w:val="样式3"/>
    <w:basedOn w:val="3"/>
    <w:qFormat/>
    <w:uiPriority w:val="0"/>
    <w:rPr>
      <w:rFonts w:eastAsiaTheme="majorEastAsia"/>
      <w:bCs/>
      <w:sz w:val="21"/>
    </w:rPr>
  </w:style>
  <w:style w:type="table" w:customStyle="1" w:styleId="26">
    <w:name w:val="网格型1"/>
    <w:basedOn w:val="10"/>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未处理的提及2"/>
    <w:basedOn w:val="12"/>
    <w:semiHidden/>
    <w:unhideWhenUsed/>
    <w:qFormat/>
    <w:uiPriority w:val="99"/>
    <w:rPr>
      <w:color w:val="605E5C"/>
      <w:shd w:val="clear" w:color="auto" w:fill="E1DFDD"/>
    </w:rPr>
  </w:style>
  <w:style w:type="character" w:customStyle="1" w:styleId="28">
    <w:name w:val="标题 1 字符"/>
    <w:basedOn w:val="12"/>
    <w:link w:val="2"/>
    <w:qFormat/>
    <w:uiPriority w:val="9"/>
    <w:rPr>
      <w:b/>
      <w:bCs/>
      <w:kern w:val="44"/>
      <w:sz w:val="44"/>
      <w:szCs w:val="44"/>
    </w:rPr>
  </w:style>
  <w:style w:type="paragraph" w:customStyle="1" w:styleId="29">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0">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1">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12711</Words>
  <Characters>13176</Characters>
  <Lines>471</Lines>
  <Paragraphs>445</Paragraphs>
  <TotalTime>177</TotalTime>
  <ScaleCrop>false</ScaleCrop>
  <LinksUpToDate>false</LinksUpToDate>
  <CharactersWithSpaces>13283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2025-09-16T19:35:00Z</dcterms:created>
  <dc:creator>Microsoft Office User</dc:creator>
  <cp:lastModifiedBy>道不清的是~~人生</cp:lastModifiedBy>
  <cp:lastPrinted>2022-06-18T02:21:00Z</cp:lastPrinted>
  <dcterms:modified xsi:type="dcterms:W3CDTF">2025-12-30T07:25:40Z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8EB89A7F96E940838C2732CF35B65BE3_13</vt:lpwstr>
  </property>
  <property fmtid="{D5CDD505-2E9C-101B-9397-08002B2CF9AE}" pid="4" name="KSOTemplateDocerSaveRecord">
    <vt:lpwstr>eyJoZGlkIjoiOTI5YTM0NDEzMWUzYmIwZDhmMDc1ODAwOTM4Mjc5ZTUiLCJ1c2VySWQiOiIyNDgyNzIzODMifQ==</vt:lpwstr>
  </property>
</Properties>
</file>